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DOAR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491 DYLAN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TWIN DISC INC</w:t>
              </w:r>
            </w:hyperlink>
            <w:r>
              <w:rPr/>
              <w:t xml:space="preserve"> [ </w:t>
            </w:r>
            <w:r>
              <w:rPr>
                <w:rFonts w:ascii="Times;serif" w:hAnsi="Times;serif"/>
                <w:color w:val="0000FF"/>
                <w:sz w:val="24"/>
                <w:shd w:fill="FFFFFF" w:val="clear"/>
              </w:rPr>
              <w:t>TWIN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8"/>
        <w:gridCol w:w="900"/>
        <w:gridCol w:w="771"/>
        <w:gridCol w:w="598"/>
        <w:gridCol w:w="345"/>
        <w:gridCol w:w="791"/>
        <w:gridCol w:w="446"/>
        <w:gridCol w:w="835"/>
        <w:gridCol w:w="1147"/>
        <w:gridCol w:w="986"/>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475</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17.119</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issued in lieu of quarterly cash retainer, pursuant to an irrevocable election made under the Twin Disc, Incorporated Amended and Restated 2021 Omnibus Incentive Plan. Shares will vest on the first anniversary of the date of issuance.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Doar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4628" TargetMode="External"/><Relationship Id="rId5" Type="http://schemas.openxmlformats.org/officeDocument/2006/relationships/hyperlink" Target="http://www.sec.gov/cgi-bin/browse-edgar?action=getcompany&amp;CIK=0000100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3222</Characters>
  <CharactersWithSpaces>3759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