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pPr>
      <w:bookmarkStart w:id="0" w:name="twin20260825_8k.htm"/>
      <w:bookmarkStart w:id="1" w:name="kstwin20260825_8k"/>
      <w:bookmarkEnd w:id="0"/>
      <w:bookmarkEnd w:id="1"/>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8-K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 Pursuant to Section 13 or 15(d) of</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u w:val="single"/>
        </w:rPr>
        <w:t>August 25,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TWIN DISC, INCORPORATED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770" w:type="dxa"/>
        <w:jc w:val="left"/>
        <w:tblInd w:w="0" w:type="dxa"/>
        <w:tblLayout w:type="fixed"/>
        <w:tblCellMar>
          <w:top w:w="0" w:type="dxa"/>
          <w:left w:w="0" w:type="dxa"/>
          <w:bottom w:w="0" w:type="dxa"/>
          <w:right w:w="0" w:type="dxa"/>
        </w:tblCellMar>
      </w:tblPr>
      <w:tblGrid>
        <w:gridCol w:w="2150"/>
        <w:gridCol w:w="1100"/>
        <w:gridCol w:w="1520"/>
      </w:tblGrid>
      <w:tr>
        <w:trPr/>
        <w:tc>
          <w:tcPr>
            <w:tcW w:w="2150" w:type="dxa"/>
            <w:tcBorders/>
            <w:vAlign w:val="center"/>
          </w:tcPr>
          <w:p>
            <w:pPr>
              <w:pStyle w:val="TableContents"/>
              <w:bidi w:val="0"/>
              <w:spacing w:before="0" w:after="0"/>
              <w:ind w:left="0" w:right="0" w:hanging="0"/>
              <w:jc w:val="center"/>
              <w:rPr>
                <w:rFonts w:ascii="Times New Roman" w:hAnsi="Times New Roman"/>
                <w:b/>
                <w:caps/>
                <w:sz w:val="20"/>
                <w:u w:val="single"/>
              </w:rPr>
            </w:pPr>
            <w:r>
              <w:rPr>
                <w:rFonts w:ascii="Times New Roman" w:hAnsi="Times New Roman"/>
                <w:b/>
                <w:caps/>
                <w:sz w:val="20"/>
                <w:u w:val="single"/>
              </w:rPr>
              <w:t>Wisconsin</w:t>
            </w:r>
          </w:p>
        </w:tc>
        <w:tc>
          <w:tcPr>
            <w:tcW w:w="110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001-7635</w:t>
            </w:r>
          </w:p>
        </w:tc>
        <w:tc>
          <w:tcPr>
            <w:tcW w:w="152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39-0667110</w:t>
            </w:r>
          </w:p>
        </w:tc>
      </w:tr>
      <w:tr>
        <w:trPr/>
        <w:tc>
          <w:tcPr>
            <w:tcW w:w="21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1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222 East Erie Street, Suite 400</w:t>
      </w:r>
      <w:r>
        <w:rPr>
          <w:rFonts w:ascii="Times New Roman" w:hAnsi="Times New Roman"/>
          <w:caps w:val="false"/>
          <w:smallCaps w:val="false"/>
          <w:sz w:val="20"/>
        </w:rPr>
        <w:t>         </w:t>
      </w:r>
      <w:r>
        <w:rPr>
          <w:rFonts w:ascii="Times New Roman" w:hAnsi="Times New Roman"/>
          <w:b/>
          <w:caps w:val="false"/>
          <w:smallCaps w:val="false"/>
          <w:sz w:val="20"/>
          <w:u w:val="single"/>
        </w:rPr>
        <w:t>Milwaukee, Wisconsin53202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u w:val="single"/>
        </w:rPr>
        <w:t>(262)638-4000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620" w:type="dxa"/>
        <w:jc w:val="left"/>
        <w:tblInd w:w="0" w:type="dxa"/>
        <w:tblLayout w:type="fixed"/>
        <w:tblCellMar>
          <w:top w:w="28" w:type="dxa"/>
          <w:left w:w="28" w:type="dxa"/>
          <w:bottom w:w="28" w:type="dxa"/>
          <w:right w:w="28" w:type="dxa"/>
        </w:tblCellMar>
      </w:tblPr>
      <w:tblGrid>
        <w:gridCol w:w="2510"/>
        <w:gridCol w:w="1535"/>
        <w:gridCol w:w="3575"/>
      </w:tblGrid>
      <w:tr>
        <w:trPr/>
        <w:tc>
          <w:tcPr>
            <w:tcW w:w="251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5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(No Par Value)</w:t>
            </w:r>
          </w:p>
        </w:tc>
        <w:tc>
          <w:tcPr>
            <w:tcW w:w="153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TWIN</w:t>
            </w:r>
          </w:p>
        </w:tc>
        <w:tc>
          <w:tcPr>
            <w:tcW w:w="35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right"/>
        <w:rPr>
          <w:caps w:val="false"/>
          <w:smallCaps w:val="false"/>
        </w:rPr>
      </w:pPr>
      <w:r>
        <w:rPr>
          <w:caps w:val="false"/>
          <w:smallCaps w:val="false"/>
        </w:rPr>
        <w: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hanging="1440"/>
        <w:jc w:val="left"/>
        <w:rPr>
          <w:rFonts w:ascii="Times New Roman" w:hAnsi="Times New Roman"/>
          <w:caps w:val="false"/>
          <w:smallCaps w:val="false"/>
          <w:sz w:val="20"/>
        </w:rPr>
      </w:pPr>
      <w:r>
        <w:rPr>
          <w:rFonts w:ascii="Times New Roman" w:hAnsi="Times New Roman"/>
          <w:b/>
          <w:caps w:val="false"/>
          <w:smallCaps w:val="false"/>
          <w:sz w:val="20"/>
        </w:rPr>
        <w:t>Item 7.01</w:t>
      </w:r>
      <w:r>
        <w:rPr>
          <w:rFonts w:ascii="Times New Roman" w:hAnsi="Times New Roman"/>
          <w:caps w:val="false"/>
          <w:smallCaps w:val="false"/>
          <w:sz w:val="20"/>
        </w:rPr>
        <w:t xml:space="preserve">         </w:t>
      </w:r>
      <w:r>
        <w:rPr>
          <w:rFonts w:ascii="Times New Roman" w:hAnsi="Times New Roman"/>
          <w:b/>
          <w:caps w:val="false"/>
          <w:smallCaps w:val="false"/>
          <w:sz w:val="20"/>
        </w:rPr>
        <w:t>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executive officers of Twin Disc intend to present materials at meetings with investors and analysts and at investor conferences on or after August 25, 2026. A copy of the presentation materials to be used at those meetings and from time to time thereafter is filed as Exhibit 99.1 hereto. The presentation materials will also be posted on the Company’s website, </w:t>
      </w:r>
      <w:r>
        <w:rPr>
          <w:rFonts w:ascii="Times New Roman" w:hAnsi="Times New Roman"/>
          <w:caps w:val="false"/>
          <w:smallCaps w:val="false"/>
          <w:sz w:val="20"/>
          <w:u w:val="single"/>
        </w:rPr>
        <w:t>www.twindisc.com</w:t>
      </w:r>
      <w:r>
        <w:rPr>
          <w:rFonts w:ascii="Times New Roman" w:hAnsi="Times New Roman"/>
          <w:caps w:val="false"/>
          <w:smallCaps w:val="false"/>
          <w:sz w:val="20"/>
        </w:rPr>
        <w:t xml:space="preserve"> The Company does not intend to file any update of these presentation materials. The fact that these presentation materials are being furnished should not be deemed an admission as to the materiality of any information contained in the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included in the presentation includes financial information determined by methods other than in accordance with accounting principles generally accepted in the United States of America (“GAAP”). The Company’s management uses these non-GAAP measures in its analysis of the Company’s performance. The Company believes that the presentation of certain non-GAAP measures provides useful supplemental information that is essential to a proper understanding of the operating results of the Company’s core businesses. These non-GAAP disclosures should not be viewed as a substitute for operating results determined in accordance with GAAP, nor are they necessarily comparable to non-GAAP performance measures that may be presented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this Form 8-K being furnished under Item 7.01 shall not be deemed to be “filed” for the purposes of Section 18 of the Securities and Exchange Act of 1934 (the “Exchange Act”), or otherwise subject to the liabilities of such section, nor shall such information be deemed incorporated by reference in any filing under the Securities Act of 1933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presentation contains forward-looking statements within the meaning of the Private Securities Litigation Reform Act of 1995. The words “believes,” “expects,” “intends,” “plans,” “anticipates,” “hopes,” “likely,” “will,” and similar expressions identify such forward-looking statements. These statements are based on the Company’s expectations and involve risks, uncertainties and other important factors that could cause the actual results performance or achievements of the Company (or entities in which the Company has interests), or industry results, to differ materially from future results, performance or achievements expressed or implied by such forward-looking statements. Certain factors that could cause the Company’s actual future results to differ materially from those discussed are noted in connection with such statements, but other unanticipated factors could arise. Certain risks regarding the Company’s forward-looking statements are discussed in the Company’s filings with the Securities and Exchange Commission, including an extensive discussion of these risks in the Company’s Annual Report on Form 10-K for the year ended June 30, 2025. Readers are cautioned not to place undue reliance on these forward-looking statements which reflect management’s view only as of the date of this Form 8-K. The Company undertakes no obligation to publicly release any revisions to these forward-looking statements to reflect events or circumstances after the date hereof or to reflect the occurrence of unanticipated events, conditions or circumstances.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HorizontalLine"/>
        <w:pBdr>
          <w:bottom w:val="double" w:sz="2" w:space="0" w:color="808080"/>
        </w:pBdr>
        <w:bidi w:val="0"/>
        <w:spacing w:before="0" w:after="283"/>
        <w:jc w:val="left"/>
        <w:rPr/>
      </w:pPr>
      <w:r>
        <w:rPr/>
      </w:r>
    </w:p>
    <w:tbl>
      <w:tblPr>
        <w:tblW w:w="2935" w:type="dxa"/>
        <w:jc w:val="left"/>
        <w:tblInd w:w="0" w:type="dxa"/>
        <w:tblLayout w:type="fixed"/>
        <w:tblCellMar>
          <w:top w:w="0" w:type="dxa"/>
          <w:left w:w="0" w:type="dxa"/>
          <w:bottom w:w="0" w:type="dxa"/>
          <w:right w:w="0" w:type="dxa"/>
        </w:tblCellMar>
      </w:tblPr>
      <w:tblGrid>
        <w:gridCol w:w="1670"/>
        <w:gridCol w:w="1265"/>
      </w:tblGrid>
      <w:tr>
        <w:trPr/>
        <w:tc>
          <w:tcPr>
            <w:tcW w:w="16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EXHIBIT NUMBER</w:t>
            </w:r>
          </w:p>
        </w:tc>
        <w:tc>
          <w:tcPr>
            <w:tcW w:w="12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DESCRIPTION</w:t>
            </w:r>
          </w:p>
        </w:tc>
      </w:tr>
    </w:tbl>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380"/>
        <w:gridCol w:w="1835"/>
      </w:tblGrid>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1835" w:type="dxa"/>
            <w:tcBorders/>
            <w:vAlign w:val="center"/>
          </w:tcPr>
          <w:p>
            <w:pPr>
              <w:pStyle w:val="TableContents"/>
              <w:bidi w:val="0"/>
              <w:spacing w:before="0" w:after="0"/>
              <w:ind w:left="0" w:right="0" w:hanging="0"/>
              <w:jc w:val="both"/>
              <w:rPr/>
            </w:pPr>
            <w:hyperlink w:anchor="ex_1009009_source.htm">
              <w:r>
                <w:rPr>
                  <w:rStyle w:val="InternetLink"/>
                  <w:rFonts w:ascii="Times New Roman" w:hAnsi="Times New Roman"/>
                  <w:caps w:val="false"/>
                  <w:smallCaps w:val="false"/>
                  <w:sz w:val="20"/>
                </w:rPr>
                <w:t>Presentation Materials</w:t>
              </w:r>
            </w:hyperlink>
          </w:p>
        </w:tc>
      </w:tr>
    </w:tbl>
    <w:p>
      <w:pPr>
        <w:pStyle w:val="TextBody"/>
        <w:bidi w:val="0"/>
        <w:spacing w:before="0" w:after="0"/>
        <w:jc w:val="left"/>
        <w:rPr/>
      </w:pPr>
      <w:r>
        <w:rPr/>
        <w:t> </w:t>
      </w:r>
    </w:p>
    <w:tbl>
      <w:tblPr>
        <w:tblW w:w="6805" w:type="dxa"/>
        <w:jc w:val="left"/>
        <w:tblInd w:w="0" w:type="dxa"/>
        <w:tblLayout w:type="fixed"/>
        <w:tblCellMar>
          <w:top w:w="0" w:type="dxa"/>
          <w:left w:w="0" w:type="dxa"/>
          <w:bottom w:w="0" w:type="dxa"/>
          <w:right w:w="0" w:type="dxa"/>
        </w:tblCellMar>
      </w:tblPr>
      <w:tblGrid>
        <w:gridCol w:w="335"/>
        <w:gridCol w:w="6470"/>
      </w:tblGrid>
      <w:tr>
        <w:trPr/>
        <w:tc>
          <w:tcPr>
            <w:tcW w:w="3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4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1850"/>
        <w:gridCol w:w="3245"/>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25, 2026</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r>
      <w:tr>
        <w:trPr/>
        <w:tc>
          <w:tcPr>
            <w:tcW w:w="1850" w:type="dxa"/>
            <w:tcBorders/>
            <w:vAlign w:val="center"/>
          </w:tcPr>
          <w:p>
            <w:pPr>
              <w:pStyle w:val="TableContents"/>
              <w:bidi w:val="0"/>
              <w:spacing w:before="0" w:after="0"/>
              <w:ind w:left="0" w:right="0" w:hanging="0"/>
              <w:jc w:val="left"/>
              <w:rPr/>
            </w:pPr>
            <w:r>
              <w:rPr/>
              <w:t> </w:t>
            </w:r>
          </w:p>
        </w:tc>
        <w:tc>
          <w:tcPr>
            <w:tcW w:w="3245"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3245" w:type="dxa"/>
            <w:tcBorders/>
            <w:vAlign w:val="center"/>
          </w:tcPr>
          <w:p>
            <w:pPr>
              <w:pStyle w:val="TableContents"/>
              <w:bidi w:val="0"/>
              <w:spacing w:before="0" w:after="0"/>
              <w:ind w:left="0" w:right="0" w:hanging="0"/>
              <w:jc w:val="left"/>
              <w:rPr>
                <w:caps w:val="false"/>
                <w:smallCaps w:val="false"/>
                <w:u w:val="single"/>
              </w:rPr>
            </w:pPr>
            <w:r>
              <w:rPr>
                <w:caps w:val="false"/>
                <w:smallCaps w:val="false"/>
                <w:u w:val="single"/>
              </w:rPr>
              <w:t>   </w:t>
            </w:r>
            <w:r>
              <w:rPr>
                <w:rFonts w:ascii="Times New Roman" w:hAnsi="Times New Roman"/>
                <w:caps w:val="false"/>
                <w:smallCaps w:val="false"/>
                <w:sz w:val="20"/>
                <w:u w:val="single"/>
              </w:rPr>
              <w:t>/s/ Jeffrey S. Knutson</w:t>
            </w:r>
          </w:p>
        </w:tc>
      </w:tr>
      <w:tr>
        <w:trPr/>
        <w:tc>
          <w:tcPr>
            <w:tcW w:w="1850" w:type="dxa"/>
            <w:tcBorders/>
            <w:vAlign w:val="center"/>
          </w:tcPr>
          <w:p>
            <w:pPr>
              <w:pStyle w:val="TableContents"/>
              <w:bidi w:val="0"/>
              <w:spacing w:before="0" w:after="0"/>
              <w:ind w:left="0" w:right="0" w:hanging="0"/>
              <w:jc w:val="left"/>
              <w:rPr/>
            </w:pPr>
            <w:r>
              <w:rPr/>
              <w:t> </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S. Knutson</w:t>
            </w:r>
          </w:p>
        </w:tc>
      </w:tr>
      <w:tr>
        <w:trPr/>
        <w:tc>
          <w:tcPr>
            <w:tcW w:w="1850" w:type="dxa"/>
            <w:tcBorders/>
            <w:vAlign w:val="center"/>
          </w:tcPr>
          <w:p>
            <w:pPr>
              <w:pStyle w:val="TableContents"/>
              <w:bidi w:val="0"/>
              <w:spacing w:before="0" w:after="0"/>
              <w:ind w:left="0" w:right="0" w:hanging="0"/>
              <w:jc w:val="left"/>
              <w:rPr/>
            </w:pPr>
            <w:r>
              <w:rPr/>
              <w:t> </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Vice President-Finance, Chief Financial</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Officer, Treasurer &amp; Secretary</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jc w:val="right"/>
        <w:rPr>
          <w:rFonts w:ascii="Times New Roman" w:hAnsi="Times New Roman"/>
          <w:sz w:val="20"/>
        </w:rPr>
      </w:pPr>
      <w:bookmarkStart w:id="2" w:name="ex_1009009_source.htm"/>
      <w:bookmarkStart w:id="3" w:name="ksex_1009009_source"/>
      <w:bookmarkEnd w:id="2"/>
      <w:bookmarkEnd w:id="3"/>
      <w:r>
        <w:rPr>
          <w:rFonts w:ascii="Times New Roman;Times;serif" w:hAnsi="Times New Roman;Times;serif"/>
          <w:b/>
          <w:sz w:val="20"/>
        </w:rPr>
        <w:t>Exhibit 99.1</w:t>
      </w:r>
      <w:r>
        <w:rPr>
          <w:rFonts w:ascii="Times New Roman" w:hAnsi="Times New Roman"/>
          <w:sz w:val="20"/>
        </w:rPr>
        <w:t xml:space="preserve"> </w:t>
      </w:r>
      <w:r>
        <w:br w:type="page"/>
      </w:r>
    </w:p>
    <w:p>
      <w:pPr>
        <w:pStyle w:val="TextBody"/>
        <w:bidi w:val="0"/>
        <w:spacing w:before="0" w:after="0"/>
        <w:jc w:val="left"/>
        <w:rPr/>
      </w:pPr>
      <w:r>
        <w:rPr/>
        <w:t> </w:t>
      </w:r>
    </w:p>
    <w:p>
      <w:pPr>
        <w:pStyle w:val="TextBody"/>
        <w:bidi w:val="0"/>
        <w:spacing w:before="0" w:after="0"/>
        <w:jc w:val="right"/>
        <w:rPr/>
      </w:pPr>
      <w:r>
        <w:rPr/>
        <w:t> </w:t>
      </w:r>
    </w:p>
    <w:p>
      <w:pPr>
        <w:pStyle w:val="TextBody"/>
        <w:bidi w:val="0"/>
        <w:spacing w:before="0" w:after="0"/>
        <w:jc w:val="left"/>
        <w:rPr/>
      </w:pPr>
      <w:r>
        <w:rPr/>
        <w:t xml:space="preserve">  </w:t>
      </w:r>
    </w:p>
    <w:p>
      <w:pPr>
        <w:pStyle w:val="TextBody"/>
        <w:bidi w:val="0"/>
        <w:spacing w:before="0" w:after="0"/>
        <w:ind w:left="0" w:right="0" w:hanging="0"/>
        <w:jc w:val="center"/>
        <w:rPr/>
      </w:pPr>
      <w:r>
        <w:rPr/>
        <w:drawing>
          <wp:inline distT="0" distB="0" distL="0" distR="0">
            <wp:extent cx="7620000" cy="428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drawing>
          <wp:inline distT="0" distB="0" distL="0" distR="0">
            <wp:extent cx="7620000" cy="42862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620000" cy="4286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882</Words>
  <Characters>5033</Characters>
  <CharactersWithSpaces>6007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