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DOAR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491 DYLAN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TWIN DISC INC</w:t>
              </w:r>
            </w:hyperlink>
            <w:r>
              <w:rPr/>
              <w:t xml:space="preserve"> [ </w:t>
            </w:r>
            <w:r>
              <w:rPr>
                <w:rFonts w:ascii="Times;serif" w:hAnsi="Times;serif"/>
                <w:color w:val="0000FF"/>
                <w:sz w:val="24"/>
                <w:shd w:fill="FFFFFF" w:val="clear"/>
              </w:rPr>
              <w:t>TWIN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4"/>
        <w:gridCol w:w="902"/>
        <w:gridCol w:w="772"/>
        <w:gridCol w:w="599"/>
        <w:gridCol w:w="347"/>
        <w:gridCol w:w="798"/>
        <w:gridCol w:w="451"/>
        <w:gridCol w:w="752"/>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130,363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issued in lieu of quarterly cash retainer, pursuant to an irrevocable election made under the Twin Disc, Incorporated Amended and Restated 2021 Omnibus Incentive Plan. Shares will vest on the first anniversary of the date of issuance.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Doar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4628" TargetMode="External"/><Relationship Id="rId5" Type="http://schemas.openxmlformats.org/officeDocument/2006/relationships/hyperlink" Target="http://www.sec.gov/cgi-bin/browse-edgar?action=getcompany&amp;CIK=0000100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3241</Characters>
  <CharactersWithSpaces>3773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