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win20260630_10k.htm"/>
      <w:bookmarkStart w:id="1" w:name="kstwin20260630_10k"/>
      <w:bookmarkEnd w:id="0"/>
      <w:bookmarkEnd w:id="1"/>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Washington, D. C. 20549</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 xml:space="preserve">FORM </w:t>
      </w:r>
      <w:r>
        <w:rPr>
          <w:rFonts w:ascii="Times New Roman" w:hAnsi="Times New Roman"/>
          <w:caps w:val="false"/>
          <w:smallCaps w:val="false"/>
          <w:sz w:val="24"/>
        </w:rPr>
        <w:t>10</w:t>
        <w:noBreakHyphen/>
        <w:t>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b/>
          <w:caps w:val="false"/>
          <w:smallCaps w:val="false"/>
          <w:sz w:val="20"/>
        </w:rPr>
        <w:t>ANNUAL REPORT PURSUANT TO SECTION 13 or 15(d) OF THE SECURITIES EXCHANGE ACT OF 1934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Fiscal Year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____________ to 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1</w:t>
        <w:noBreakHyphen/>
        <w:t>7635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TWIN DISC, INCORPORATED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4940"/>
        <w:gridCol w:w="3260"/>
      </w:tblGrid>
      <w:tr>
        <w:trPr/>
        <w:tc>
          <w:tcPr>
            <w:tcW w:w="494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Wisconsin</w:t>
            </w:r>
          </w:p>
        </w:tc>
        <w:tc>
          <w:tcPr>
            <w:tcW w:w="32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39</w:t>
              <w:noBreakHyphen/>
              <w:t>0667110</w:t>
            </w:r>
          </w:p>
        </w:tc>
      </w:tr>
      <w:tr>
        <w:trPr/>
        <w:tc>
          <w:tcPr>
            <w:tcW w:w="49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32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Number)</w:t>
            </w:r>
          </w:p>
        </w:tc>
      </w:tr>
      <w:tr>
        <w:trPr/>
        <w:tc>
          <w:tcPr>
            <w:tcW w:w="494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222 East Erie Street, Suite 400, Milwaukee, Wisconsin</w:t>
            </w:r>
          </w:p>
        </w:tc>
        <w:tc>
          <w:tcPr>
            <w:tcW w:w="326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53202</w:t>
            </w:r>
          </w:p>
        </w:tc>
      </w:tr>
      <w:tr>
        <w:trPr/>
        <w:tc>
          <w:tcPr>
            <w:tcW w:w="49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c>
          <w:tcPr>
            <w:tcW w:w="32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(262) 638-4000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620" w:type="dxa"/>
        <w:jc w:val="left"/>
        <w:tblInd w:w="0" w:type="dxa"/>
        <w:tblLayout w:type="fixed"/>
        <w:tblCellMar>
          <w:top w:w="28" w:type="dxa"/>
          <w:left w:w="28" w:type="dxa"/>
          <w:bottom w:w="28" w:type="dxa"/>
          <w:right w:w="0" w:type="dxa"/>
        </w:tblCellMar>
      </w:tblPr>
      <w:tblGrid>
        <w:gridCol w:w="2510"/>
        <w:gridCol w:w="1535"/>
        <w:gridCol w:w="3575"/>
      </w:tblGrid>
      <w:tr>
        <w:trPr/>
        <w:tc>
          <w:tcPr>
            <w:tcW w:w="251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5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(No Par Value)</w:t>
            </w:r>
          </w:p>
        </w:tc>
        <w:tc>
          <w:tcPr>
            <w:tcW w:w="15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TWIN</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12(g)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None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w:t>
      </w:r>
    </w:p>
    <w:p>
      <w:pPr>
        <w:pStyle w:val="TextBody"/>
        <w:bidi w:val="0"/>
        <w:spacing w:before="0" w:after="0"/>
        <w:ind w:left="7200" w:right="0" w:hanging="0"/>
        <w:jc w:val="left"/>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or Section 15(d) of the Act.</w:t>
      </w:r>
    </w:p>
    <w:p>
      <w:pPr>
        <w:pStyle w:val="TextBody"/>
        <w:bidi w:val="0"/>
        <w:spacing w:before="0" w:after="0"/>
        <w:ind w:left="7200" w:right="0" w:hanging="0"/>
        <w:jc w:val="left"/>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0" w:right="0" w:hanging="0"/>
        <w:jc w:val="left"/>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7200" w:right="0" w:hanging="0"/>
        <w:jc w:val="left"/>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    Accelerated Filer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    Smaller reporting company ☑    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w:t>
      </w:r>
    </w:p>
    <w:p>
      <w:pPr>
        <w:pStyle w:val="TextBody"/>
        <w:bidi w:val="0"/>
        <w:spacing w:before="0" w:after="0"/>
        <w:ind w:left="7200" w:right="0" w:hanging="0"/>
        <w:jc w:val="left"/>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December 26, 2025, the last business day of the registrant’s most recently completed second fiscal quarter, the aggregate market value of the common stock held by non</w:t>
        <w:noBreakHyphen/>
        <w:t>affiliates of the registrant was $191,865,823.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Determination of stock ownership by affiliates was made solely for the purpose of responding to this requirement and the registrant is not bound by this determination for any other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August 10, 2026, the registrant had 14,538,916 shares of its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Portions of the Proxy Statement for the Annual Meeting of Shareholders to be held on October 29, 2026, which will be filed pursuant to Regulation 14A no later than 120 days after the end of the fiscal year covered by this report, are incorporated by reference into 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TWIN DISC, INC. - FORM 10-K</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
        <w:gridCol w:w="730"/>
        <w:gridCol w:w="9152"/>
        <w:gridCol w:w="247"/>
      </w:tblGrid>
      <w:tr>
        <w:trPr/>
        <w:tc>
          <w:tcPr>
            <w:tcW w:w="806"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PART I.</w:t>
            </w:r>
          </w:p>
        </w:tc>
        <w:tc>
          <w:tcPr>
            <w:tcW w:w="9152"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r>
      <w:tr>
        <w:trPr/>
        <w:tc>
          <w:tcPr>
            <w:tcW w:w="7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left"/>
              <w:rPr/>
            </w:pPr>
            <w:r>
              <w:rPr/>
              <w:t> </w:t>
            </w:r>
          </w:p>
        </w:tc>
        <w:tc>
          <w:tcPr>
            <w:tcW w:w="9152"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r>
      <w:tr>
        <w:trPr/>
        <w:tc>
          <w:tcPr>
            <w:tcW w:w="76"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915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Business.</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r>
      <w:tr>
        <w:trPr/>
        <w:tc>
          <w:tcPr>
            <w:tcW w:w="7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1A.</w:t>
            </w:r>
          </w:p>
        </w:tc>
        <w:tc>
          <w:tcPr>
            <w:tcW w:w="915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24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r>
      <w:tr>
        <w:trPr/>
        <w:tc>
          <w:tcPr>
            <w:tcW w:w="76"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1B.</w:t>
            </w:r>
          </w:p>
        </w:tc>
        <w:tc>
          <w:tcPr>
            <w:tcW w:w="915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Unresolved Staff Comments.</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r>
      <w:tr>
        <w:trPr/>
        <w:tc>
          <w:tcPr>
            <w:tcW w:w="7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1C.</w:t>
            </w:r>
          </w:p>
        </w:tc>
        <w:tc>
          <w:tcPr>
            <w:tcW w:w="915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Cybersecurity.</w:t>
            </w:r>
          </w:p>
        </w:tc>
        <w:tc>
          <w:tcPr>
            <w:tcW w:w="24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r>
      <w:tr>
        <w:trPr/>
        <w:tc>
          <w:tcPr>
            <w:tcW w:w="76"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915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Properties.</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r>
      <w:tr>
        <w:trPr/>
        <w:tc>
          <w:tcPr>
            <w:tcW w:w="7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915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Proceedings.</w:t>
            </w:r>
          </w:p>
        </w:tc>
        <w:tc>
          <w:tcPr>
            <w:tcW w:w="24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r>
      <w:tr>
        <w:trPr/>
        <w:tc>
          <w:tcPr>
            <w:tcW w:w="76"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915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Mine Safety Disclosures.</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r>
      <w:tr>
        <w:trPr/>
        <w:tc>
          <w:tcPr>
            <w:tcW w:w="7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left"/>
              <w:rPr/>
            </w:pPr>
            <w:r>
              <w:rPr/>
              <w:t> </w:t>
            </w:r>
          </w:p>
        </w:tc>
        <w:tc>
          <w:tcPr>
            <w:tcW w:w="915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About Our Executive Officers.</w:t>
            </w:r>
          </w:p>
        </w:tc>
        <w:tc>
          <w:tcPr>
            <w:tcW w:w="24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r>
      <w:tr>
        <w:trPr/>
        <w:tc>
          <w:tcPr>
            <w:tcW w:w="806" w:type="dxa"/>
            <w:gridSpan w:val="2"/>
            <w:tcBorders/>
            <w:shd w:fill="CCEEFF" w:val="clear"/>
            <w:vAlign w:val="center"/>
          </w:tcPr>
          <w:p>
            <w:pPr>
              <w:pStyle w:val="TableContents"/>
              <w:bidi w:val="0"/>
              <w:spacing w:before="0" w:after="283"/>
              <w:jc w:val="left"/>
              <w:rPr/>
            </w:pPr>
            <w:r>
              <w:rPr/>
              <w:t> </w:t>
            </w:r>
          </w:p>
        </w:tc>
        <w:tc>
          <w:tcPr>
            <w:tcW w:w="9152"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r>
      <w:tr>
        <w:trPr/>
        <w:tc>
          <w:tcPr>
            <w:tcW w:w="806"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PART II.</w:t>
            </w:r>
          </w:p>
        </w:tc>
        <w:tc>
          <w:tcPr>
            <w:tcW w:w="9152"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r>
      <w:tr>
        <w:trPr/>
        <w:tc>
          <w:tcPr>
            <w:tcW w:w="806" w:type="dxa"/>
            <w:gridSpan w:val="2"/>
            <w:tcBorders/>
            <w:shd w:fill="CCEEFF" w:val="clear"/>
            <w:vAlign w:val="center"/>
          </w:tcPr>
          <w:p>
            <w:pPr>
              <w:pStyle w:val="TableContents"/>
              <w:bidi w:val="0"/>
              <w:spacing w:before="0" w:after="283"/>
              <w:jc w:val="left"/>
              <w:rPr/>
            </w:pPr>
            <w:r>
              <w:rPr/>
              <w:t> </w:t>
            </w:r>
          </w:p>
        </w:tc>
        <w:tc>
          <w:tcPr>
            <w:tcW w:w="9152"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r>
      <w:tr>
        <w:trPr/>
        <w:tc>
          <w:tcPr>
            <w:tcW w:w="7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5.</w:t>
            </w:r>
          </w:p>
        </w:tc>
        <w:tc>
          <w:tcPr>
            <w:tcW w:w="915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 for the Registrant’s Common Stock, Related Stockholder Matters, and Issuer Purchases of Equity Securities.</w:t>
            </w:r>
          </w:p>
        </w:tc>
        <w:tc>
          <w:tcPr>
            <w:tcW w:w="24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r>
      <w:tr>
        <w:trPr/>
        <w:tc>
          <w:tcPr>
            <w:tcW w:w="76"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915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Reserved.</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r>
      <w:tr>
        <w:trPr/>
        <w:tc>
          <w:tcPr>
            <w:tcW w:w="7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7.</w:t>
            </w:r>
          </w:p>
        </w:tc>
        <w:tc>
          <w:tcPr>
            <w:tcW w:w="915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Management’s Discussion and Analysis of Financial Condition and Results of Operations.</w:t>
            </w:r>
          </w:p>
        </w:tc>
        <w:tc>
          <w:tcPr>
            <w:tcW w:w="24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r>
      <w:tr>
        <w:trPr/>
        <w:tc>
          <w:tcPr>
            <w:tcW w:w="76"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7A.</w:t>
            </w:r>
          </w:p>
        </w:tc>
        <w:tc>
          <w:tcPr>
            <w:tcW w:w="915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Quantitative and Qualitative Disclosure About Market Risk.</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r>
      <w:tr>
        <w:trPr/>
        <w:tc>
          <w:tcPr>
            <w:tcW w:w="7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8.</w:t>
            </w:r>
          </w:p>
        </w:tc>
        <w:tc>
          <w:tcPr>
            <w:tcW w:w="915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Statements and Supplementary Data.</w:t>
            </w:r>
          </w:p>
        </w:tc>
        <w:tc>
          <w:tcPr>
            <w:tcW w:w="24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r>
      <w:tr>
        <w:trPr/>
        <w:tc>
          <w:tcPr>
            <w:tcW w:w="76"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9.</w:t>
            </w:r>
          </w:p>
        </w:tc>
        <w:tc>
          <w:tcPr>
            <w:tcW w:w="915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and Disagreements with Accountants on Accounting and Financial Disclosure.</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r>
      <w:tr>
        <w:trPr/>
        <w:tc>
          <w:tcPr>
            <w:tcW w:w="7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9A.</w:t>
            </w:r>
          </w:p>
        </w:tc>
        <w:tc>
          <w:tcPr>
            <w:tcW w:w="915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Controls and Procedures.</w:t>
            </w:r>
          </w:p>
        </w:tc>
        <w:tc>
          <w:tcPr>
            <w:tcW w:w="24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r>
      <w:tr>
        <w:trPr/>
        <w:tc>
          <w:tcPr>
            <w:tcW w:w="76"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9B.</w:t>
            </w:r>
          </w:p>
        </w:tc>
        <w:tc>
          <w:tcPr>
            <w:tcW w:w="915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Information.</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r>
      <w:tr>
        <w:trPr/>
        <w:tc>
          <w:tcPr>
            <w:tcW w:w="7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9C.</w:t>
            </w:r>
          </w:p>
        </w:tc>
        <w:tc>
          <w:tcPr>
            <w:tcW w:w="915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Regarding Foreign Jurisdictions that Prevent Inspections.</w:t>
            </w:r>
          </w:p>
        </w:tc>
        <w:tc>
          <w:tcPr>
            <w:tcW w:w="2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r>
      <w:tr>
        <w:trPr/>
        <w:tc>
          <w:tcPr>
            <w:tcW w:w="806" w:type="dxa"/>
            <w:gridSpan w:val="2"/>
            <w:tcBorders/>
            <w:shd w:fill="CCEEFF" w:val="clear"/>
            <w:vAlign w:val="center"/>
          </w:tcPr>
          <w:p>
            <w:pPr>
              <w:pStyle w:val="TableContents"/>
              <w:bidi w:val="0"/>
              <w:spacing w:before="0" w:after="283"/>
              <w:jc w:val="left"/>
              <w:rPr/>
            </w:pPr>
            <w:r>
              <w:rPr/>
              <w:t> </w:t>
            </w:r>
          </w:p>
        </w:tc>
        <w:tc>
          <w:tcPr>
            <w:tcW w:w="9152"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r>
      <w:tr>
        <w:trPr/>
        <w:tc>
          <w:tcPr>
            <w:tcW w:w="806"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PART III.</w:t>
            </w:r>
          </w:p>
        </w:tc>
        <w:tc>
          <w:tcPr>
            <w:tcW w:w="9152"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r>
      <w:tr>
        <w:trPr/>
        <w:tc>
          <w:tcPr>
            <w:tcW w:w="806" w:type="dxa"/>
            <w:gridSpan w:val="2"/>
            <w:tcBorders/>
            <w:shd w:fill="CCEEFF" w:val="clear"/>
            <w:vAlign w:val="center"/>
          </w:tcPr>
          <w:p>
            <w:pPr>
              <w:pStyle w:val="TableContents"/>
              <w:bidi w:val="0"/>
              <w:spacing w:before="0" w:after="283"/>
              <w:jc w:val="left"/>
              <w:rPr/>
            </w:pPr>
            <w:r>
              <w:rPr/>
              <w:t> </w:t>
            </w:r>
          </w:p>
        </w:tc>
        <w:tc>
          <w:tcPr>
            <w:tcW w:w="9152"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r>
      <w:tr>
        <w:trPr/>
        <w:tc>
          <w:tcPr>
            <w:tcW w:w="7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10.</w:t>
            </w:r>
          </w:p>
        </w:tc>
        <w:tc>
          <w:tcPr>
            <w:tcW w:w="915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Directors, Executive Officers, and Corporate Governance.</w:t>
            </w:r>
          </w:p>
        </w:tc>
        <w:tc>
          <w:tcPr>
            <w:tcW w:w="24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r>
      <w:tr>
        <w:trPr/>
        <w:tc>
          <w:tcPr>
            <w:tcW w:w="76"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11.</w:t>
            </w:r>
          </w:p>
        </w:tc>
        <w:tc>
          <w:tcPr>
            <w:tcW w:w="915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Compensation.</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r>
      <w:tr>
        <w:trPr/>
        <w:tc>
          <w:tcPr>
            <w:tcW w:w="7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12.</w:t>
            </w:r>
          </w:p>
        </w:tc>
        <w:tc>
          <w:tcPr>
            <w:tcW w:w="915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Security Ownership of Certain Beneficial Owners and Management and Related Stockholder Matters.</w:t>
            </w:r>
          </w:p>
        </w:tc>
        <w:tc>
          <w:tcPr>
            <w:tcW w:w="24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r>
      <w:tr>
        <w:trPr/>
        <w:tc>
          <w:tcPr>
            <w:tcW w:w="76"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13.</w:t>
            </w:r>
          </w:p>
        </w:tc>
        <w:tc>
          <w:tcPr>
            <w:tcW w:w="915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Certain Relationships and Related Transactions, Director Independence.</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r>
      <w:tr>
        <w:trPr/>
        <w:tc>
          <w:tcPr>
            <w:tcW w:w="7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14.</w:t>
            </w:r>
          </w:p>
        </w:tc>
        <w:tc>
          <w:tcPr>
            <w:tcW w:w="915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Accounting Fees and Services.</w:t>
            </w:r>
          </w:p>
        </w:tc>
        <w:tc>
          <w:tcPr>
            <w:tcW w:w="24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r>
      <w:tr>
        <w:trPr/>
        <w:tc>
          <w:tcPr>
            <w:tcW w:w="806" w:type="dxa"/>
            <w:gridSpan w:val="2"/>
            <w:tcBorders/>
            <w:shd w:fill="CCEEFF" w:val="clear"/>
            <w:vAlign w:val="center"/>
          </w:tcPr>
          <w:p>
            <w:pPr>
              <w:pStyle w:val="TableContents"/>
              <w:bidi w:val="0"/>
              <w:spacing w:before="0" w:after="283"/>
              <w:jc w:val="left"/>
              <w:rPr/>
            </w:pPr>
            <w:r>
              <w:rPr/>
              <w:t> </w:t>
            </w:r>
          </w:p>
        </w:tc>
        <w:tc>
          <w:tcPr>
            <w:tcW w:w="9152"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r>
      <w:tr>
        <w:trPr/>
        <w:tc>
          <w:tcPr>
            <w:tcW w:w="806"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PART IV.</w:t>
            </w:r>
          </w:p>
        </w:tc>
        <w:tc>
          <w:tcPr>
            <w:tcW w:w="9152"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r>
      <w:tr>
        <w:trPr/>
        <w:tc>
          <w:tcPr>
            <w:tcW w:w="806" w:type="dxa"/>
            <w:gridSpan w:val="2"/>
            <w:tcBorders/>
            <w:shd w:fill="CCEEFF" w:val="clear"/>
            <w:vAlign w:val="center"/>
          </w:tcPr>
          <w:p>
            <w:pPr>
              <w:pStyle w:val="TableContents"/>
              <w:bidi w:val="0"/>
              <w:spacing w:before="0" w:after="283"/>
              <w:jc w:val="left"/>
              <w:rPr/>
            </w:pPr>
            <w:r>
              <w:rPr/>
              <w:t> </w:t>
            </w:r>
          </w:p>
        </w:tc>
        <w:tc>
          <w:tcPr>
            <w:tcW w:w="9152"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r>
      <w:tr>
        <w:trPr/>
        <w:tc>
          <w:tcPr>
            <w:tcW w:w="7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15.</w:t>
            </w:r>
          </w:p>
        </w:tc>
        <w:tc>
          <w:tcPr>
            <w:tcW w:w="915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Exhibits, Financial Statement Schedules.</w:t>
            </w:r>
          </w:p>
        </w:tc>
        <w:tc>
          <w:tcPr>
            <w:tcW w:w="24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r>
      <w:tr>
        <w:trPr/>
        <w:tc>
          <w:tcPr>
            <w:tcW w:w="76"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left"/>
              <w:rPr/>
            </w:pPr>
            <w:r>
              <w:rPr/>
              <w:t> </w:t>
            </w:r>
          </w:p>
        </w:tc>
        <w:tc>
          <w:tcPr>
            <w:tcW w:w="915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Index.</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75</w:t>
            </w:r>
          </w:p>
        </w:tc>
      </w:tr>
      <w:tr>
        <w:trPr/>
        <w:tc>
          <w:tcPr>
            <w:tcW w:w="7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left"/>
              <w:rPr/>
            </w:pPr>
            <w:r>
              <w:rPr/>
              <w:t> </w:t>
            </w:r>
          </w:p>
        </w:tc>
        <w:tc>
          <w:tcPr>
            <w:tcW w:w="915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Signatures.</w:t>
            </w:r>
          </w:p>
        </w:tc>
        <w:tc>
          <w:tcPr>
            <w:tcW w:w="24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 (“Twin Disc” or the “Company”) was incorporated under the laws of the state of Wisconsin in 1918. Twin Disc designs, manufactures and sells marine and heavy-duty off</w:t>
        <w:noBreakHyphen/>
        <w:t>highway power transmission equipment. The Company has manufacturing locations in the United States, Belgium, Canada, Finland, Italy, the Netherlands, and Switzerland. In addition to these countries, it has distribution locations in Belgium, Singapore, China, Australia, New Zealand, and Japan. Products offered include: marine transmissions, azimuth drives, surface drives, propellers, and boat management systems as well as power-shift transmissions, hydraulic torque converters, power take-offs, industrial clutches, controls systems, and braking systems. The Company sells its products to customers primarily in the pleasure craft, commercial, and military marine markets, as well as in the energy and natural resources, government, military, and industrial markets. The Company's worldwide sales to both domestic and foreign customers are transacted through a direct sales force and a distributor network. The products described above have accounted for more than 90% of revenues in each of the last three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February 14, 2025, the Company completed the acquisition of 100% of the outstanding common stock of Kobelt Manufacturing Co. Ltd. (“Kobelt”).  Based in Surrey, British Columbia, Canada, Kobelt is a manufacturer of controls, propulsion, steering, and braking systems to the marine, oil and gas, and industrial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Most of the Company's products are machined from cast iron, forgings, cast aluminum, and bar steel which generally are available from multiple sources and which are believed to be in adequate supply.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applied for patents in both the United States and certain foreign countries on inventions made in the course of its development work for which commercial applications are considered probable. The Company regards its patents collectively as important but does not consider its business dependent upon any one of such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business is not considered to be seasonal except to the extent that employee vacations and plant shutdowns, particularly in Europe, occur mainly in the months of July and August, curtailing production during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products receive direct widespread competition, including from divisions of other larger independent manufacturers. The Company also competes for business with parts manufacturing divisions of some of its major customers. The primary competitive factors for the Company’s products are design, technology, performance, price, service, and availability. The Company’s top ten customers accounted for approximately 36% and 35% of the Company's consolidated net sales during the years ended June 30, 2026 and June 30, 2025, respectively. No individual customer accounted for 10% of consolidated net sales in fiscal year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had unfilled open orders for the next six months of $178.3 million at June 30, 2026 compared to $150.5 million at June 30, 2025. Since orders are subject to cancellation and rescheduling by the customer, the six</w:t>
        <w:noBreakHyphen/>
        <w:t>month order backlog is considered more representative of operating conditions than total backlog. However, as procurement and manufacturing "lead times" change, the backlog will increase or decrease, and thus it does not necessarily provide a valid indicator of the shipping rate. Cancellations are generally the result of rescheduling activity and do not represent a material change in total 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recognizes that there are attendant risks that foreign governments may place restrictions on dividend payments and other movements of money, but these risks are considered low due to the relatively low investment within individual countries that have currency movement restrictions. No material portion of the Company’s business is subject to renegotiation of profits or termination of contracts at the election of the U.S.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Engineering and development costs include research and development expenses for new product development and major improvements to existing products, and other costs for ongoing efforts to refine existing products. Research and development costs charged to operations totaled $2.9 million and $2.7 million in fiscal 2026 and 2025, respectively. Total engineering and development costs were $13.4 million and $12.2 million in fiscal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Compliance with federal, state and local provisions regulating the discharge of materials into the environment, or otherwise relating to the protection of the environment, is not anticipated to have a material effect on capital expenditures, earnings or the competitive position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number of persons employed by the Company at June 30, 2026 was 1,087 and at June 30, 2025 was 980, including the impact of the acquisition of Kobelt. The Company believes that its continued success is a direct result of its talent. As such, the Company strives to be an employer of choice in every community in which it operates. It does this by fostering a fair, respectful, inclusive and safe work environment and culture shaped by its core values of customer focus, integrity, accountability, teamwork, and innovation.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summary of financial data by segment, geographic area, and classes of products that accounted for more than 10% of consolidated sales revenues for the years ended June 30, 2026 and 2025 appears in Note J, Business Segments and Foreign Operations,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Company’s website address is www.twindisc.com. </w:t>
      </w:r>
      <w:r>
        <w:rPr>
          <w:rFonts w:ascii="Times New Roman" w:hAnsi="Times New Roman"/>
          <w:b/>
          <w:caps w:val="false"/>
          <w:smallCaps w:val="false"/>
          <w:sz w:val="20"/>
        </w:rPr>
        <w:t>The Company makes available free of charge (other than an investor</w:t>
      </w:r>
      <w:r>
        <w:rPr>
          <w:rFonts w:ascii="Times New Roman" w:hAnsi="Times New Roman"/>
          <w:caps w:val="false"/>
          <w:smallCaps w:val="false"/>
          <w:sz w:val="20"/>
        </w:rPr>
        <w:t>’</w:t>
      </w:r>
      <w:r>
        <w:rPr>
          <w:rFonts w:ascii="Times New Roman" w:hAnsi="Times New Roman"/>
          <w:b/>
          <w:caps w:val="false"/>
          <w:smallCaps w:val="false"/>
          <w:sz w:val="20"/>
        </w:rPr>
        <w:t>s own internet access charges) through its website the Company</w:t>
      </w:r>
      <w:r>
        <w:rPr>
          <w:rFonts w:ascii="Times New Roman" w:hAnsi="Times New Roman"/>
          <w:caps w:val="false"/>
          <w:smallCaps w:val="false"/>
          <w:sz w:val="20"/>
        </w:rPr>
        <w:t>’</w:t>
      </w:r>
      <w:r>
        <w:rPr>
          <w:rFonts w:ascii="Times New Roman" w:hAnsi="Times New Roman"/>
          <w:b/>
          <w:caps w:val="false"/>
          <w:smallCaps w:val="false"/>
          <w:sz w:val="20"/>
        </w:rPr>
        <w:t>s Annual Report on Form 10-K, quarterly reports on Form 10-Q and current reports on Form 8-K, and amendments to those reports, as soon as reasonably practicable after it electronically files such material with, or furnishes such material to, the United States Securities and Exchange Commission (</w:t>
      </w:r>
      <w:r>
        <w:rPr>
          <w:rFonts w:ascii="Times New Roman" w:hAnsi="Times New Roman"/>
          <w:caps w:val="false"/>
          <w:smallCaps w:val="false"/>
          <w:sz w:val="20"/>
        </w:rPr>
        <w:t>“</w:t>
      </w:r>
      <w:r>
        <w:rPr>
          <w:rFonts w:ascii="Times New Roman" w:hAnsi="Times New Roman"/>
          <w:b/>
          <w:caps w:val="false"/>
          <w:smallCaps w:val="false"/>
          <w:sz w:val="20"/>
        </w:rPr>
        <w:t>SEC</w:t>
      </w:r>
      <w:r>
        <w:rPr>
          <w:rFonts w:ascii="Times New Roman" w:hAnsi="Times New Roman"/>
          <w:caps w:val="false"/>
          <w:smallCaps w:val="false"/>
          <w:sz w:val="20"/>
        </w:rPr>
        <w:t>”</w:t>
      </w:r>
      <w:r>
        <w:rPr>
          <w:rFonts w:ascii="Times New Roman" w:hAnsi="Times New Roman"/>
          <w:b/>
          <w:caps w:val="false"/>
          <w:smallCaps w:val="false"/>
          <w:sz w:val="20"/>
        </w:rPr>
        <w:t>).</w:t>
      </w:r>
      <w:r>
        <w:rPr>
          <w:rFonts w:ascii="Times New Roman" w:hAnsi="Times New Roman"/>
          <w:caps w:val="false"/>
          <w:smallCaps w:val="false"/>
          <w:sz w:val="20"/>
        </w:rPr>
        <w:t xml:space="preserve"> The SEC maintains an internet site (www.sec.gov) that contains reports, proxy and information statements, and other information regarding issuers, such as the Company, that file electronically with the SEC. In addition, the Company makes available, through its website, important corporate governance materials. This information is also available from the Company upon request. The Company is not including the information contained on or available through its website as a part of, or incorporating such information by reference to,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business involves various risk factors. The following information about these risks should be considered carefully together with other information contained in this report. The risks described below are not the only risks the Company faces. Additional risks not currently known, deemed immaterial or that could apply to any issuer may also result in adverse results for the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As a global company, the Company is subject to currency fluctuations and a significant movement between the U.S. dollar and the euro exchange rate, in particular, could have an adverse effect on its profitability. </w:t>
      </w:r>
      <w:r>
        <w:rPr>
          <w:rFonts w:ascii="Times New Roman" w:hAnsi="Times New Roman"/>
          <w:caps w:val="false"/>
          <w:smallCaps w:val="false"/>
          <w:sz w:val="20"/>
        </w:rPr>
        <w:t>Although the Company’s financial results are reported in U.S. dollars, a significant portion of its sales and operating costs are realized in euros and other foreign currencies. The Company’s profitability is affected by movements of the U.S. dollar against the euro and the other currencies in which it generates revenues and incurs expenses. Significant long-term fluctuations in relative currency values, in particular a significant change in the exchange rate between the U.S. dollar and the euro, could have an adverse effect on the Company’s profitability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Certain of the Company</w:t>
      </w:r>
      <w:r>
        <w:rPr>
          <w:rFonts w:ascii="Times New Roman" w:hAnsi="Times New Roman"/>
          <w:caps w:val="false"/>
          <w:smallCaps w:val="false"/>
          <w:sz w:val="20"/>
        </w:rPr>
        <w:t>’</w:t>
      </w:r>
      <w:r>
        <w:rPr>
          <w:rFonts w:ascii="Times New Roman" w:hAnsi="Times New Roman"/>
          <w:b/>
          <w:i/>
          <w:caps w:val="false"/>
          <w:smallCaps w:val="false"/>
          <w:sz w:val="20"/>
        </w:rPr>
        <w:t xml:space="preserve">s products are directly or indirectly used in oil exploration and oil drilling and are thus dependent upon the strength of those markets and oil prices. </w:t>
      </w:r>
      <w:r>
        <w:rPr>
          <w:rFonts w:ascii="Times New Roman" w:hAnsi="Times New Roman"/>
          <w:caps w:val="false"/>
          <w:smallCaps w:val="false"/>
          <w:sz w:val="20"/>
        </w:rPr>
        <w:t>In recent years, the Company has seen significant variations in the sales of its products that are used in oil and energy-related markets. The variability in these markets has been defined by the change in oil prices and the global demand for oil. Significant decreases in oil prices and reduced demand for oil and capital investment in the oil and energy markets adversely affect the sales of these products and the Company’s profitability. The cyclical nature of the global oil and gas market presents the ongoing possibility of a severe cutback in demand, which would create a significant adverse effect on the sales of these products and ultimately on the Company’s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Many of the Company</w:t>
      </w:r>
      <w:r>
        <w:rPr>
          <w:rFonts w:ascii="Times New Roman" w:hAnsi="Times New Roman"/>
          <w:caps w:val="false"/>
          <w:smallCaps w:val="false"/>
          <w:sz w:val="20"/>
        </w:rPr>
        <w:t>’</w:t>
      </w:r>
      <w:r>
        <w:rPr>
          <w:rFonts w:ascii="Times New Roman" w:hAnsi="Times New Roman"/>
          <w:b/>
          <w:i/>
          <w:caps w:val="false"/>
          <w:smallCaps w:val="false"/>
          <w:sz w:val="20"/>
        </w:rPr>
        <w:t>s product markets are cyclical in nature or are otherwise sensitive to volatile or unpredictable factors. A downturn or weakness in overall economic activity or fluctuations in those other factors could have a material adverse effect on the Company</w:t>
      </w:r>
      <w:r>
        <w:rPr>
          <w:rFonts w:ascii="Times New Roman" w:hAnsi="Times New Roman"/>
          <w:caps w:val="false"/>
          <w:smallCaps w:val="false"/>
          <w:sz w:val="20"/>
        </w:rPr>
        <w:t>’</w:t>
      </w:r>
      <w:r>
        <w:rPr>
          <w:rFonts w:ascii="Times New Roman" w:hAnsi="Times New Roman"/>
          <w:b/>
          <w:i/>
          <w:caps w:val="false"/>
          <w:smallCaps w:val="false"/>
          <w:sz w:val="20"/>
        </w:rPr>
        <w:t>s overall financial performance</w:t>
      </w:r>
      <w:r>
        <w:rPr>
          <w:rFonts w:ascii="Times New Roman" w:hAnsi="Times New Roman"/>
          <w:caps w:val="false"/>
          <w:smallCaps w:val="false"/>
          <w:sz w:val="20"/>
        </w:rPr>
        <w:t>. Historically, sales of many of the products that the Company manufactures and sells have been subject to cyclical variations caused by changes in general economic conditions and other factors. In particular, the Company sells its products to customers primarily in the pleasure craft, commercial, and military marine markets, as well as in the energy and natural resources, government, military, and industrial markets. The demand for the products may be impacted by the strength of the economy generally, governmental spending and appropriations, including security and defense outlays, fuel prices, interest rates, as well as many other factors. Adverse economic and other conditions may cause the Company's customers to forego or otherwise postpone purchases in favor of repairing existing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In the event of an increase in the global demand for steel, the Company could be adversely affected if it experiences shortages of raw castings and forgings used in the manufacturing of its products. </w:t>
      </w:r>
      <w:r>
        <w:rPr>
          <w:rFonts w:ascii="Times New Roman" w:hAnsi="Times New Roman"/>
          <w:caps w:val="false"/>
          <w:smallCaps w:val="false"/>
          <w:sz w:val="20"/>
        </w:rPr>
        <w:t>With the continued advancement of certain developing economies, in particular China and India, the global demand for steel has risen significantly in recent years. The Company selects its suppliers based on a number of criteria, and the Company expects that they will be able to support its needs; however, there can be no assurance that a significant increase in demand, capacity constraints or other issues experienced by the Company’s suppliers will not result in shortages or delays in their supply of raw materials to the Company. If the Company were to experience a significant or prolonged shortage of critical components from any of its suppliers, particularly those who are sole sources, and could not procure the components from other sources, the Company would be unable to meet its production schedules for some of its key products and would miss product delivery dates which would adversely affect its sales, profitability and relationships with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Company continues to face the prospect of increasing commodity costs, including steel, other raw materials and energy that could have an adverse effect on future profitability. In addition, developments in tariff regulations in the U.S. and foreign jurisdictions have resulted in uncertainty regarding international trade policies and future commodity prices, contributing to an increased risk of higher commodity costs that could have an adverse impact on the Company</w:t>
      </w:r>
      <w:r>
        <w:rPr>
          <w:rFonts w:ascii="Times New Roman" w:hAnsi="Times New Roman"/>
          <w:caps w:val="false"/>
          <w:smallCaps w:val="false"/>
          <w:sz w:val="20"/>
        </w:rPr>
        <w:t>’</w:t>
      </w:r>
      <w:r>
        <w:rPr>
          <w:rFonts w:ascii="Times New Roman" w:hAnsi="Times New Roman"/>
          <w:b/>
          <w:i/>
          <w:caps w:val="false"/>
          <w:smallCaps w:val="false"/>
          <w:sz w:val="20"/>
        </w:rPr>
        <w:t xml:space="preserve">s profitability, financial condition and results of operations. </w:t>
      </w:r>
      <w:r>
        <w:rPr>
          <w:rFonts w:ascii="Times New Roman" w:hAnsi="Times New Roman"/>
          <w:caps w:val="false"/>
          <w:smallCaps w:val="false"/>
          <w:sz w:val="20"/>
        </w:rPr>
        <w:t>The Company’s profitability is dependent, in part, on commodity costs. To date, the Company has been successful with offsetting the effects of increased commodity costs through cost reduction programs and pricing actions; however, if material prices were to continue to increase at a rate that could not be recouped through product pricing or cost reductions, it could potentially have an adverse effect on the Company’s future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could be affected by tariffs, trade restrictions, changes in trade policy, or retaliatory actions by foreign governments could increase its cost of sales, reduce the availability of raw materials or components, disrupt supply chains, and adversely affect demand for its products. The Company procures many raw materials and components directly or indirectly from outside the United States, including materials and products that may be affected by tariffs or other import restrictions. There can be no assurance that the Company would be able to offset increased costs through pricing actions, supplier changes, sourcing adjustments, or cost reductions. In addition, because the Company sells a significant proportion of its products to customers outside the United States, retaliatory tariffs, trade barriers, or changes in foreign trade policy could increase the price of its products in foreign markets, reduce demand, impair its competitive position, or otherwise adversely affect its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If the Company were to lose business with any key customers, the Company</w:t>
      </w:r>
      <w:r>
        <w:rPr>
          <w:rFonts w:ascii="Times New Roman" w:hAnsi="Times New Roman"/>
          <w:caps w:val="false"/>
          <w:smallCaps w:val="false"/>
          <w:sz w:val="20"/>
        </w:rPr>
        <w:t>’</w:t>
      </w:r>
      <w:r>
        <w:rPr>
          <w:rFonts w:ascii="Times New Roman" w:hAnsi="Times New Roman"/>
          <w:b/>
          <w:i/>
          <w:caps w:val="false"/>
          <w:smallCaps w:val="false"/>
          <w:sz w:val="20"/>
        </w:rPr>
        <w:t xml:space="preserve">s business would be adversely affected. </w:t>
      </w:r>
      <w:r>
        <w:rPr>
          <w:rFonts w:ascii="Times New Roman" w:hAnsi="Times New Roman"/>
          <w:caps w:val="false"/>
          <w:smallCaps w:val="false"/>
          <w:sz w:val="20"/>
        </w:rPr>
        <w:t>Although no individual customer accounted for 10% or more of consolidated net sales in fiscal 2026, deterioration of a business relationship with one or more of the Company’s significant customers would cause its sales and profitability to be adversely affected. Although the Company’s accounts receivable are dispersed among a large customer base, a significant change in the liquidity or financial position of any one of its largest customers could have a material adverse impact on the collectability of its accounts receivable and future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termination of relationships with the Company</w:t>
      </w:r>
      <w:r>
        <w:rPr>
          <w:rFonts w:ascii="Times New Roman" w:hAnsi="Times New Roman"/>
          <w:caps w:val="false"/>
          <w:smallCaps w:val="false"/>
          <w:sz w:val="20"/>
        </w:rPr>
        <w:t>’</w:t>
      </w:r>
      <w:r>
        <w:rPr>
          <w:rFonts w:ascii="Times New Roman" w:hAnsi="Times New Roman"/>
          <w:b/>
          <w:i/>
          <w:caps w:val="false"/>
          <w:smallCaps w:val="false"/>
          <w:sz w:val="20"/>
        </w:rPr>
        <w:t xml:space="preserve">s suppliers, or the inability of such suppliers to perform, could disrupt its business and have an adverse effect on its ability to manufacture and deliver products. </w:t>
      </w:r>
      <w:r>
        <w:rPr>
          <w:rFonts w:ascii="Times New Roman" w:hAnsi="Times New Roman"/>
          <w:caps w:val="false"/>
          <w:smallCaps w:val="false"/>
          <w:sz w:val="20"/>
        </w:rPr>
        <w:t>The Company relies on raw materials, component parts, and services supplied by outside third parties. If a supplier of significant raw materials, component parts or services were to terminate its relationship with the Company, or otherwise cease supplying raw materials, component parts, or services consistent with past practice, the Company’s ability to meet its obligations to its customers may be affected. Such a disruption with respect to numerous products, or with respect to a few significant products, could have an adverse effect on the Company’s profitability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A significant design, manufacturing or supplier quality issue could result in recalls or other actions by the Company that could adversely affect profitability. </w:t>
      </w:r>
      <w:r>
        <w:rPr>
          <w:rFonts w:ascii="Times New Roman" w:hAnsi="Times New Roman"/>
          <w:caps w:val="false"/>
          <w:smallCaps w:val="false"/>
          <w:sz w:val="20"/>
        </w:rPr>
        <w:t>As a manufacturer of highly engineered products, the performance, reliability and productivity of the Company’s products are some of its competitive advantages. While the Company prides itself on implementing procedures to ensure the quality and performance of its products and suppliers, a significant quality or product issue, whether due to design, performance, manufacturing or supplier quality issue, could lead to warranty actions, scrapping of raw materials, finished goods or returned products, the deterioration in a customer relationship, or other action that could adversely affect warranty and quality costs, future sales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The Company faces risks associated with its international sales and operations that could adversely affect its business, results of operations or financial condition. </w:t>
      </w:r>
      <w:r>
        <w:rPr>
          <w:rFonts w:ascii="Times New Roman" w:hAnsi="Times New Roman"/>
          <w:caps w:val="false"/>
          <w:smallCaps w:val="false"/>
          <w:sz w:val="20"/>
        </w:rPr>
        <w:t>Sales to customers outside the United States approximated 72% of the Company’s consolidated net sales for fiscal 2026. The Company has international manufacturing operations in Belgium, Canada, Finland, Italy, the Netherlands and Switzerland. In addition, the Company has international distribution operations in Australia, New Zealand, Belgium, China, Japan, and Singapore. The Company’s international sales and operations are subject to a number of risks,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5"/>
        <w:gridCol w:w="9860"/>
      </w:tblGrid>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drawing>
                <wp:inline distT="0" distB="0" distL="0" distR="0">
                  <wp:extent cx="180975" cy="161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975" cy="161925"/>
                          </a:xfrm>
                          <a:prstGeom prst="rect">
                            <a:avLst/>
                          </a:prstGeom>
                        </pic:spPr>
                      </pic:pic>
                    </a:graphicData>
                  </a:graphic>
                </wp:inline>
              </w:drawing>
            </w:r>
          </w:p>
        </w:tc>
        <w:tc>
          <w:tcPr>
            <w:tcW w:w="98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political and social attitudes, laws, rules, regulations, and policies within countries that favor local companies over U.S. companies, including government-supported efforts to promote local competitors;</w:t>
            </w:r>
          </w:p>
        </w:tc>
      </w:tr>
    </w:tbl>
    <w:tbl>
      <w:tblPr>
        <w:tblW w:w="3320" w:type="dxa"/>
        <w:jc w:val="left"/>
        <w:tblInd w:w="0" w:type="dxa"/>
        <w:tblLayout w:type="fixed"/>
        <w:tblCellMar>
          <w:top w:w="0" w:type="dxa"/>
          <w:left w:w="0" w:type="dxa"/>
          <w:bottom w:w="0" w:type="dxa"/>
          <w:right w:w="0" w:type="dxa"/>
        </w:tblCellMar>
      </w:tblPr>
      <w:tblGrid>
        <w:gridCol w:w="60"/>
        <w:gridCol w:w="285"/>
        <w:gridCol w:w="2975"/>
      </w:tblGrid>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drawing>
                <wp:inline distT="0" distB="0" distL="0" distR="0">
                  <wp:extent cx="180975" cy="161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0975" cy="161925"/>
                          </a:xfrm>
                          <a:prstGeom prst="rect">
                            <a:avLst/>
                          </a:prstGeom>
                        </pic:spPr>
                      </pic:pic>
                    </a:graphicData>
                  </a:graphic>
                </wp:inline>
              </w:drawing>
            </w:r>
          </w:p>
        </w:tc>
        <w:tc>
          <w:tcPr>
            <w:tcW w:w="2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exchange rate fluctuations;</w:t>
            </w:r>
          </w:p>
        </w:tc>
      </w:tr>
    </w:tbl>
    <w:tbl>
      <w:tblPr>
        <w:tblW w:w="10205" w:type="dxa"/>
        <w:jc w:val="left"/>
        <w:tblInd w:w="0" w:type="dxa"/>
        <w:tblLayout w:type="fixed"/>
        <w:tblCellMar>
          <w:top w:w="0" w:type="dxa"/>
          <w:left w:w="0" w:type="dxa"/>
          <w:bottom w:w="0" w:type="dxa"/>
          <w:right w:w="0" w:type="dxa"/>
        </w:tblCellMar>
      </w:tblPr>
      <w:tblGrid>
        <w:gridCol w:w="60"/>
        <w:gridCol w:w="285"/>
        <w:gridCol w:w="9860"/>
      </w:tblGrid>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drawing>
                <wp:inline distT="0" distB="0" distL="0" distR="0">
                  <wp:extent cx="180975" cy="161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0975" cy="161925"/>
                          </a:xfrm>
                          <a:prstGeom prst="rect">
                            <a:avLst/>
                          </a:prstGeom>
                        </pic:spPr>
                      </pic:pic>
                    </a:graphicData>
                  </a:graphic>
                </wp:inline>
              </w:drawing>
            </w:r>
          </w:p>
        </w:tc>
        <w:tc>
          <w:tcPr>
            <w:tcW w:w="98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global trade issues and uncertainties with respect to trade policies, including tariffs, trade sanctions, and international trade disputes, and the ability to obtain required import and export licenses;</w:t>
            </w:r>
          </w:p>
        </w:tc>
      </w:tr>
    </w:tbl>
    <w:tbl>
      <w:tblPr>
        <w:tblW w:w="10205" w:type="dxa"/>
        <w:jc w:val="left"/>
        <w:tblInd w:w="0" w:type="dxa"/>
        <w:tblLayout w:type="fixed"/>
        <w:tblCellMar>
          <w:top w:w="0" w:type="dxa"/>
          <w:left w:w="0" w:type="dxa"/>
          <w:bottom w:w="0" w:type="dxa"/>
          <w:right w:w="0" w:type="dxa"/>
        </w:tblCellMar>
      </w:tblPr>
      <w:tblGrid>
        <w:gridCol w:w="60"/>
        <w:gridCol w:w="285"/>
        <w:gridCol w:w="9860"/>
      </w:tblGrid>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drawing>
                <wp:inline distT="0" distB="0" distL="0" distR="0">
                  <wp:extent cx="180975" cy="161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0975" cy="161925"/>
                          </a:xfrm>
                          <a:prstGeom prst="rect">
                            <a:avLst/>
                          </a:prstGeom>
                        </pic:spPr>
                      </pic:pic>
                    </a:graphicData>
                  </a:graphic>
                </wp:inline>
              </w:drawing>
            </w:r>
          </w:p>
        </w:tc>
        <w:tc>
          <w:tcPr>
            <w:tcW w:w="98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differing legal systems and standards of trade which may not honor our intellectual property rights, and which may place us at a competitive disadvantage;</w:t>
            </w:r>
          </w:p>
        </w:tc>
      </w:tr>
    </w:tbl>
    <w:tbl>
      <w:tblPr>
        <w:tblW w:w="10130" w:type="dxa"/>
        <w:jc w:val="left"/>
        <w:tblInd w:w="0" w:type="dxa"/>
        <w:tblLayout w:type="fixed"/>
        <w:tblCellMar>
          <w:top w:w="0" w:type="dxa"/>
          <w:left w:w="0" w:type="dxa"/>
          <w:bottom w:w="0" w:type="dxa"/>
          <w:right w:w="0" w:type="dxa"/>
        </w:tblCellMar>
      </w:tblPr>
      <w:tblGrid>
        <w:gridCol w:w="60"/>
        <w:gridCol w:w="285"/>
        <w:gridCol w:w="9785"/>
      </w:tblGrid>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drawing>
                <wp:inline distT="0" distB="0" distL="0" distR="0">
                  <wp:extent cx="180975" cy="161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0975" cy="161925"/>
                          </a:xfrm>
                          <a:prstGeom prst="rect">
                            <a:avLst/>
                          </a:prstGeom>
                        </pic:spPr>
                      </pic:pic>
                    </a:graphicData>
                  </a:graphic>
                </wp:inline>
              </w:drawing>
            </w:r>
          </w:p>
        </w:tc>
        <w:tc>
          <w:tcPr>
            <w:tcW w:w="9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multiple conflicting and changing governmental laws and regulations, including varying labor laws and tax regulations;</w:t>
            </w:r>
          </w:p>
        </w:tc>
      </w:tr>
    </w:tbl>
    <w:tbl>
      <w:tblPr>
        <w:tblW w:w="10205" w:type="dxa"/>
        <w:jc w:val="left"/>
        <w:tblInd w:w="0" w:type="dxa"/>
        <w:tblLayout w:type="fixed"/>
        <w:tblCellMar>
          <w:top w:w="0" w:type="dxa"/>
          <w:left w:w="0" w:type="dxa"/>
          <w:bottom w:w="0" w:type="dxa"/>
          <w:right w:w="0" w:type="dxa"/>
        </w:tblCellMar>
      </w:tblPr>
      <w:tblGrid>
        <w:gridCol w:w="60"/>
        <w:gridCol w:w="285"/>
        <w:gridCol w:w="9860"/>
      </w:tblGrid>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drawing>
                <wp:inline distT="0" distB="0" distL="0" distR="0">
                  <wp:extent cx="180975" cy="161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80975" cy="161925"/>
                          </a:xfrm>
                          <a:prstGeom prst="rect">
                            <a:avLst/>
                          </a:prstGeom>
                        </pic:spPr>
                      </pic:pic>
                    </a:graphicData>
                  </a:graphic>
                </wp:inline>
              </w:drawing>
            </w:r>
          </w:p>
        </w:tc>
        <w:tc>
          <w:tcPr>
            <w:tcW w:w="98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reliance on various information systems and information technology to conduct our business, making us vulnerable to cyberattacks by third parties or breaches due to employee error, misuse, or other causes, that could result in business disruptions, loss of or damage to our intellectual property, and confidential information (and that of our customers and other business partners), reputational harm, transaction errors, processing inefficiencies, or other adverse consequences;</w:t>
            </w:r>
          </w:p>
        </w:tc>
      </w:tr>
    </w:tbl>
    <w:tbl>
      <w:tblPr>
        <w:tblW w:w="10205" w:type="dxa"/>
        <w:jc w:val="left"/>
        <w:tblInd w:w="0" w:type="dxa"/>
        <w:tblLayout w:type="fixed"/>
        <w:tblCellMar>
          <w:top w:w="0" w:type="dxa"/>
          <w:left w:w="0" w:type="dxa"/>
          <w:bottom w:w="0" w:type="dxa"/>
          <w:right w:w="0" w:type="dxa"/>
        </w:tblCellMar>
      </w:tblPr>
      <w:tblGrid>
        <w:gridCol w:w="60"/>
        <w:gridCol w:w="285"/>
        <w:gridCol w:w="9860"/>
      </w:tblGrid>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drawing>
                <wp:inline distT="0" distB="0" distL="0" distR="0">
                  <wp:extent cx="180975" cy="1619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0975" cy="161925"/>
                          </a:xfrm>
                          <a:prstGeom prst="rect">
                            <a:avLst/>
                          </a:prstGeom>
                        </pic:spPr>
                      </pic:pic>
                    </a:graphicData>
                  </a:graphic>
                </wp:inline>
              </w:drawing>
            </w:r>
          </w:p>
        </w:tc>
        <w:tc>
          <w:tcPr>
            <w:tcW w:w="98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regional or global economic downturns or recessions, varying foreign government support, unstable political environments, and other changes in foreign economic conditions;</w:t>
            </w:r>
          </w:p>
        </w:tc>
      </w:tr>
    </w:tbl>
    <w:tbl>
      <w:tblPr>
        <w:tblW w:w="10205" w:type="dxa"/>
        <w:jc w:val="left"/>
        <w:tblInd w:w="0" w:type="dxa"/>
        <w:tblLayout w:type="fixed"/>
        <w:tblCellMar>
          <w:top w:w="0" w:type="dxa"/>
          <w:left w:w="0" w:type="dxa"/>
          <w:bottom w:w="0" w:type="dxa"/>
          <w:right w:w="0" w:type="dxa"/>
        </w:tblCellMar>
      </w:tblPr>
      <w:tblGrid>
        <w:gridCol w:w="60"/>
        <w:gridCol w:w="285"/>
        <w:gridCol w:w="9860"/>
      </w:tblGrid>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drawing>
                <wp:inline distT="0" distB="0" distL="0" distR="0">
                  <wp:extent cx="180975" cy="1619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0975" cy="161925"/>
                          </a:xfrm>
                          <a:prstGeom prst="rect">
                            <a:avLst/>
                          </a:prstGeom>
                        </pic:spPr>
                      </pic:pic>
                    </a:graphicData>
                  </a:graphic>
                </wp:inline>
              </w:drawing>
            </w:r>
          </w:p>
        </w:tc>
        <w:tc>
          <w:tcPr>
            <w:tcW w:w="98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difficulties in managing a global enterprise, including staffing, managing distributors and representatives, and repatriating cash and dividends;</w:t>
            </w:r>
          </w:p>
        </w:tc>
      </w:tr>
    </w:tbl>
    <w:tbl>
      <w:tblPr>
        <w:tblW w:w="6290" w:type="dxa"/>
        <w:jc w:val="left"/>
        <w:tblInd w:w="0" w:type="dxa"/>
        <w:tblLayout w:type="fixed"/>
        <w:tblCellMar>
          <w:top w:w="0" w:type="dxa"/>
          <w:left w:w="0" w:type="dxa"/>
          <w:bottom w:w="0" w:type="dxa"/>
          <w:right w:w="0" w:type="dxa"/>
        </w:tblCellMar>
      </w:tblPr>
      <w:tblGrid>
        <w:gridCol w:w="60"/>
        <w:gridCol w:w="285"/>
        <w:gridCol w:w="5945"/>
      </w:tblGrid>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drawing>
                <wp:inline distT="0" distB="0" distL="0" distR="0">
                  <wp:extent cx="180975" cy="1619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80975" cy="161925"/>
                          </a:xfrm>
                          <a:prstGeom prst="rect">
                            <a:avLst/>
                          </a:prstGeom>
                        </pic:spPr>
                      </pic:pic>
                    </a:graphicData>
                  </a:graphic>
                </wp:inline>
              </w:drawing>
            </w:r>
          </w:p>
        </w:tc>
        <w:tc>
          <w:tcPr>
            <w:tcW w:w="5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longer sales cycles and difficulties in collecting accounts receivable; and</w:t>
            </w:r>
          </w:p>
        </w:tc>
      </w:tr>
    </w:tbl>
    <w:tbl>
      <w:tblPr>
        <w:tblW w:w="4070" w:type="dxa"/>
        <w:jc w:val="left"/>
        <w:tblInd w:w="0" w:type="dxa"/>
        <w:tblLayout w:type="fixed"/>
        <w:tblCellMar>
          <w:top w:w="0" w:type="dxa"/>
          <w:left w:w="0" w:type="dxa"/>
          <w:bottom w:w="0" w:type="dxa"/>
          <w:right w:w="0" w:type="dxa"/>
        </w:tblCellMar>
      </w:tblPr>
      <w:tblGrid>
        <w:gridCol w:w="60"/>
        <w:gridCol w:w="285"/>
        <w:gridCol w:w="3725"/>
      </w:tblGrid>
      <w:tr>
        <w:trPr/>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drawing>
                <wp:inline distT="0" distB="0" distL="0" distR="0">
                  <wp:extent cx="180975" cy="1619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80975" cy="161925"/>
                          </a:xfrm>
                          <a:prstGeom prst="rect">
                            <a:avLst/>
                          </a:prstGeom>
                        </pic:spPr>
                      </pic:pic>
                    </a:graphicData>
                  </a:graphic>
                </wp:inline>
              </w:drawing>
            </w:r>
          </w:p>
        </w:tc>
        <w:tc>
          <w:tcPr>
            <w:tcW w:w="3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different customs and ways of doing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date, our operations have not been materially adversely affected by global conflicts including Russia’s invasion of Ukraine and the ongoing conflict involving Iran, Israel, and other reginal actors. However, further escalation of these or other conflicts could result in, among other negative consequences, a disruption to the global economy and supply chain leading to a shortage of parts, materials and services needed to manufacture and timely deliver our products. Any such shortages could negatively impact our suppliers’ ability to meet our demand requirements and, in turn, our ability to satisfy our customer demand. These challenges, together with other challenges associated with operating an international business, may adversely affect our ability to recognize revenue and our other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 material disruption at one of the Company</w:t>
      </w:r>
      <w:r>
        <w:rPr>
          <w:rFonts w:ascii="Times New Roman" w:hAnsi="Times New Roman"/>
          <w:caps w:val="false"/>
          <w:smallCaps w:val="false"/>
          <w:sz w:val="20"/>
        </w:rPr>
        <w:t>’</w:t>
      </w:r>
      <w:r>
        <w:rPr>
          <w:rFonts w:ascii="Times New Roman" w:hAnsi="Times New Roman"/>
          <w:b/>
          <w:i/>
          <w:caps w:val="false"/>
          <w:smallCaps w:val="false"/>
          <w:sz w:val="20"/>
        </w:rPr>
        <w:t xml:space="preserve">s largest manufacturing facilities could adversely affect its ability to generate sales and meet customer demand. </w:t>
      </w:r>
      <w:r>
        <w:rPr>
          <w:rFonts w:ascii="Times New Roman" w:hAnsi="Times New Roman"/>
          <w:caps w:val="false"/>
          <w:smallCaps w:val="false"/>
          <w:sz w:val="20"/>
        </w:rPr>
        <w:t>If operations at one of the Company’s largest facilities were to be disrupted as a result of significant equipment failures, natural disasters, power outages, fires, explosions, adverse weather conditions, labor force disruptions or other reasons, the Company’s business and results of operations could be adversely affected. Interruptions in production would increase costs and reduce sales. Any interruption in production capability could require the Company to make substantial capital expenditures to remedy the situation, which could negatively affect its profitability and financial condition. The Company maintains property damage insurance, which it believes is adequate to reconstruct its facilities and equipment, as well as business interruption insurance to mitigate losses resulting from any production interruption or shutdown caused by an insured loss; however, any recovery under this insurance policy may not offset the lost sales or increased costs that may be experienced during the disruption of operations. Lost sales may not be recoverable under the policy and long-term business disruptions could result in a loss of customers. If this were to occur, future sales levels and costs of doing business, and therefore profitability,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ability to service the requirements of debt depends on the ability to generate cash and/or refinance its indebtedness as it becomes due, and depends on many factors, some of which are beyond the Company</w:t>
      </w:r>
      <w:r>
        <w:rPr>
          <w:rFonts w:ascii="Times New Roman" w:hAnsi="Times New Roman"/>
          <w:caps w:val="false"/>
          <w:smallCaps w:val="false"/>
          <w:sz w:val="20"/>
        </w:rPr>
        <w:t>’</w:t>
      </w:r>
      <w:r>
        <w:rPr>
          <w:rFonts w:ascii="Times New Roman" w:hAnsi="Times New Roman"/>
          <w:b/>
          <w:i/>
          <w:caps w:val="false"/>
          <w:smallCaps w:val="false"/>
          <w:sz w:val="20"/>
        </w:rPr>
        <w:t>s control.</w:t>
      </w:r>
      <w:r>
        <w:rPr>
          <w:rFonts w:ascii="Times New Roman" w:hAnsi="Times New Roman"/>
          <w:caps w:val="false"/>
          <w:smallCaps w:val="false"/>
          <w:sz w:val="20"/>
        </w:rPr>
        <w:t xml:space="preserve"> On June 30, 2026, the Company refinanced and replaced its credit agreement dated February 14, 2025. The Company’s ability to make payments on its indebtedness, including those under the credit agreement, and to fund planned capital expenditures, research and development efforts and other corporate expenses depends on the Company’s future operating performance and on economic, financial, competitive, legislative, regulatory and other factors. Many of these factors are beyond its control. The Company cannot be certain that its business will generate sufficient cash flow from operations, or operating improvements will be realized or that future borrowings will be available to it in an amount sufficient to enable it to repay its indebtedness or to fund its other operating requirements. Significant delays in its planned capital expenditures may materially and adversely affect the Company’s future revenue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Any failure to meet debt obligations and financial covenants, and maintain adequate asset-based borrowing capacity could adversely affect the Company</w:t>
      </w:r>
      <w:r>
        <w:rPr>
          <w:rFonts w:ascii="Times New Roman" w:hAnsi="Times New Roman"/>
          <w:caps w:val="false"/>
          <w:smallCaps w:val="false"/>
          <w:sz w:val="20"/>
        </w:rPr>
        <w:t>’</w:t>
      </w:r>
      <w:r>
        <w:rPr>
          <w:rFonts w:ascii="Times New Roman" w:hAnsi="Times New Roman"/>
          <w:b/>
          <w:i/>
          <w:caps w:val="false"/>
          <w:smallCaps w:val="false"/>
          <w:sz w:val="20"/>
        </w:rPr>
        <w:t>s business and financial condition.</w:t>
      </w:r>
      <w:r>
        <w:rPr>
          <w:rFonts w:ascii="Times New Roman" w:hAnsi="Times New Roman"/>
          <w:caps w:val="false"/>
          <w:smallCaps w:val="false"/>
          <w:sz w:val="20"/>
        </w:rPr>
        <w:t xml:space="preserve"> The Company’s revolving credit facility expiring June 2031 is secured by substantially all of the Company’s and Kobelt’s personal property (i.e., none of the other subsidiaries of the Company have pledged their personal property as collateral for the bank debt), including accounts receivable, inventory, machinery and equipment, and intellectual property. The Company has also pledged 65% of its equity interests in certain foreign subsidiaries. The Company is required to comply with a total funded debt to earnings before interest, taxes, depreciation, and amortization (“EBITDA”) ratio and a minimum fixed charge coverage ratio.  If the Company does not meet these financial covenants as specified under the agreement, the Company may require forbearance or relief from its financial covenant violations from its senior lender or be required to arrange alternative financing. Failure to obtain relief from financial covenant violations or to obtain alternative financing, if necessary, would have a material adverse impact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As a result of the acquisition of Kobelt, the Company carries a significant amount of intangible assets, but it may never fully realize the total value of these assets. </w:t>
      </w:r>
      <w:r>
        <w:rPr>
          <w:rFonts w:ascii="Times New Roman" w:hAnsi="Times New Roman"/>
          <w:caps w:val="false"/>
          <w:smallCaps w:val="false"/>
          <w:sz w:val="20"/>
        </w:rPr>
        <w:t>The Company recorded intangible assets, including customer relationships, technology know-how, trade name, and computer software for Kobelt.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Amortizable intangible assets are periodically reviewed for possible impairment whenever there is evidence that events or changes in circumstances indicate that the carrying value may not be recoverable. Impairment may result from, among other things, (i) a decrease in the Company’s expected net earnings; (ii) adverse equity market conditions; (iii) a decline in current market multiples; (iv) a decline in its common stock price; (v) a significant adverse change in legal factors or business climates; (vi) an adverse action or assessment by a regulator; (vii) heightened competition; (viii) strategic decisions made in response to economic or competitive conditions; or (ix) a more-likely-than-not expectation that a reporting unit or a significant portion of a reporting unit will be sold or disposed of. In the event that the Company determines that events or circumstances exist that indicate that the carrying value of identifiable intangible assets may no longer be recoverable, the Company might have to recognize a non-cash impairment of identifiable intangible assets, which could have a material adverse effect on the Company’s consolidated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Company may experience negative or unforeseen tax consequences.</w:t>
      </w:r>
      <w:r>
        <w:rPr>
          <w:rFonts w:ascii="Times New Roman" w:hAnsi="Times New Roman"/>
          <w:caps w:val="false"/>
          <w:smallCaps w:val="false"/>
          <w:sz w:val="20"/>
        </w:rPr>
        <w:t xml:space="preserve"> The Company reviews the probability of the realization of its net deferred tax assets each period based on forecasts of taxable income in both the U.S. and foreign jurisdictions. This review uses historical results, projected future operating results based upon approved business plans, eligible carryforward periods, tax planning opportunities and other relevant considerations. Adverse changes in the profitability and financial outlook in the U.S. or foreign jurisdictions may require the creation of a valuation allowance to reduce the Company’s net deferred tax assets. Such changes could result in material non-cash expenses in the period in which the changes are made and could have a material adverse impact on the Company’s results of operations and financial condition. The Company has evaluated the realizability of deferred tax assets and concluded that the U.S. and state valuation allowance is no longer required and was released December 26, 2025. The Company's valuation allowance was $0.1 million and $16.5 million (as adjusted) as of June 30, 2026 and 2025, respectively, with prior-year amounts adjusted to reflect the change in inventory valuation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Taxing authority challenges and changes to tax laws may lead to tax payments exceeding current reserves.</w:t>
      </w:r>
      <w:r>
        <w:rPr>
          <w:rFonts w:ascii="Times New Roman" w:hAnsi="Times New Roman"/>
          <w:caps w:val="false"/>
          <w:smallCaps w:val="false"/>
          <w:sz w:val="20"/>
        </w:rPr>
        <w:t xml:space="preserve"> The Company is subject to ongoing tax examinations in various jurisdictions. As a result, the Company may record incremental tax expense based on expected outcomes of such matters. In addition, the Company may adjust previously reported tax reserves based on expected results of these examinations. Such adjustments could result in an increase or decrease to the Company’s effective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Future changes in tax law in the United States or the various jurisdictions in which the Company operates could have a material impact on the Company’s effective tax rate, foreign rate differential, future income tax expense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Security breaches and other disruptions could compromise the Company</w:t>
      </w:r>
      <w:r>
        <w:rPr>
          <w:rFonts w:ascii="Times New Roman" w:hAnsi="Times New Roman"/>
          <w:caps w:val="false"/>
          <w:smallCaps w:val="false"/>
          <w:sz w:val="20"/>
        </w:rPr>
        <w:t>’</w:t>
      </w:r>
      <w:r>
        <w:rPr>
          <w:rFonts w:ascii="Times New Roman" w:hAnsi="Times New Roman"/>
          <w:b/>
          <w:i/>
          <w:caps w:val="false"/>
          <w:smallCaps w:val="false"/>
          <w:sz w:val="20"/>
        </w:rPr>
        <w:t>s information system and expose the Company to liabilities, which would cause its business and reputation to suffer.</w:t>
      </w:r>
      <w:r>
        <w:rPr>
          <w:rFonts w:ascii="Times New Roman" w:hAnsi="Times New Roman"/>
          <w:caps w:val="false"/>
          <w:smallCaps w:val="false"/>
          <w:sz w:val="20"/>
        </w:rPr>
        <w:t xml:space="preserve"> In the ordinary course of business, the Company collects and stores sensitive data, including its proprietary business information and that of its customers, suppliers and business partners, as well as personally identifiable information of its customers and employees, in its internal and external data centers, cloud services and on its networks. The secure processing, maintenance and transmission of this information is critical to the Company’s operations and business strategy. Despite the Company’s security measures, its information technology and infrastructure, and that of its partners, may be vulnerable to malicious attacks or breaches due to employee error, malfeasance or other disruptions, including as a result of rollouts of new systems. Any such breach or operational failure would compromise the Company’s networks and/or that of its partners and the information stored there could be accessed, publicly disclosed, lost or stolen. Any such access, disclosure or other loss of information could result in legal claims or proceedings and/or regulatory fines or penalties, including, among others, under the European Union’s General Data Protection Regulation, disruption of the Company’s operations, damage to the Company’s reputation and/or cause a loss of confidence in the Company’s products and services, which could adversely affect business,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Company could be materially adversely affected by the effects of health pandemics or epidemics in regions where we or third parties on which we rely have business operations.</w:t>
      </w:r>
      <w:r>
        <w:rPr>
          <w:rFonts w:ascii="Times New Roman" w:hAnsi="Times New Roman"/>
          <w:caps w:val="false"/>
          <w:smallCaps w:val="false"/>
          <w:sz w:val="20"/>
        </w:rPr>
        <w:t>  Operating during a global pandemic could expose the Company to a number of material risks, including diminished demand for our products and our customers’ products, suspensions in the operations of our and our suppliers’ manufacturing facilities, maintenance of appropriate labor levels, our ability to ship products to our customers, interruptions in our supply chains and distribution systems, access to capital and potential increases to the cost of capital, collection of trade receivables in accordance with their terms and potential further impairment of long-lived assets; all of which, in the aggregate, could have an adverse effect on the Company’s business, financial condition,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While the Company has obtained forgiveness of its Paycheck Protection Program Loan (</w:t>
      </w:r>
      <w:r>
        <w:rPr>
          <w:rFonts w:ascii="Times New Roman" w:hAnsi="Times New Roman"/>
          <w:caps w:val="false"/>
          <w:smallCaps w:val="false"/>
          <w:sz w:val="20"/>
        </w:rPr>
        <w:t>“</w:t>
      </w:r>
      <w:r>
        <w:rPr>
          <w:rFonts w:ascii="Times New Roman" w:hAnsi="Times New Roman"/>
          <w:b/>
          <w:i/>
          <w:caps w:val="false"/>
          <w:smallCaps w:val="false"/>
          <w:sz w:val="20"/>
        </w:rPr>
        <w:t>PPP loan</w:t>
      </w:r>
      <w:r>
        <w:rPr>
          <w:rFonts w:ascii="Times New Roman" w:hAnsi="Times New Roman"/>
          <w:caps w:val="false"/>
          <w:smallCaps w:val="false"/>
          <w:sz w:val="20"/>
        </w:rPr>
        <w:t>”</w:t>
      </w:r>
      <w:r>
        <w:rPr>
          <w:rFonts w:ascii="Times New Roman" w:hAnsi="Times New Roman"/>
          <w:b/>
          <w:i/>
          <w:caps w:val="false"/>
          <w:smallCaps w:val="false"/>
          <w:sz w:val="20"/>
        </w:rPr>
        <w:t>), it remains subject to audit under the program</w:t>
      </w:r>
      <w:r>
        <w:rPr>
          <w:rFonts w:ascii="Times New Roman" w:hAnsi="Times New Roman"/>
          <w:caps w:val="false"/>
          <w:smallCaps w:val="false"/>
          <w:sz w:val="20"/>
        </w:rPr>
        <w:t>’</w:t>
      </w:r>
      <w:r>
        <w:rPr>
          <w:rFonts w:ascii="Times New Roman" w:hAnsi="Times New Roman"/>
          <w:b/>
          <w:i/>
          <w:caps w:val="false"/>
          <w:smallCaps w:val="false"/>
          <w:sz w:val="20"/>
        </w:rPr>
        <w:t>s rules and any resulting adverse audit findings of non-compliance can result in the repayment of a portion or all of the PPP loan.</w:t>
      </w:r>
      <w:r>
        <w:rPr>
          <w:rFonts w:ascii="Times New Roman" w:hAnsi="Times New Roman"/>
          <w:caps w:val="false"/>
          <w:smallCaps w:val="false"/>
          <w:sz w:val="20"/>
        </w:rPr>
        <w:t>  On April 17, 2020, the Company received proceeds of $8.2 million from a loan under the PPP of the Coronavirus Aid, Relief, and Economic Security Act (“CARES Act”), which it has used to retain employees, maintain payroll and make lease and utility payments.  The Company accounted for the full proceeds as a loan.  It obtained formal forgiveness of the full amount of the loan on June 16, 2021, and accounted for the forgiveness as income from extinguishment of loan in its statement of operations for the year ended June 30, 2021.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the loan has been formally forgiven, under the terms of the PPP loan, the Company remains subject to an audit by the Small Business Administration (“SBA”) for a period of six years after forgiveness.  The audit is intended to confirm the Company’s eligibility for the PPP loan and the appropriateness of the PPP loan forgiveness. The Company is aware of the requirements of the PPP Loan and believes it is within the eligibility threshold and has used the loan proceeds in accordance with PPP loan forgiveness requirements. It has retained all necessary documentation in support of its eligibility, including gross receipts calculations, supporting payroll expenses and related information. However, no assurance is provided that the Company will satisfy fully all the requirements of an audit. If despite the Company’s actions and certification that it satisfied all eligibility requirements for the PPP loan, it is later determined that it violated applicable laws or was otherwise ineligible to receive the PPP loan, it may be required to repay the PPP loan in its entirety in a lump sum or be subject to additional penalties, which could result in adverse publicity and damage to the Company’s reputation. If these events were to transpire, they could have a material adverse effect on the Company’s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1C.</w:t>
      </w:r>
      <w:r>
        <w:rPr>
          <w:rFonts w:ascii="Times New Roman" w:hAnsi="Times New Roman"/>
          <w:b/>
          <w:caps w:val="false"/>
          <w:smallCaps w:val="false"/>
          <w:sz w:val="20"/>
        </w:rPr>
        <w:t xml:space="preserve">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Audit Committee of the Board of Directors is responsible for oversight of risks from cybersecurity threats. The Audit Committee oversees management’s processes for assessing, identifying, and managing material cybersecurity risks and receives periodic reports regarding the Company’s cybersecurity posture, significant risks, incident response readiness, and other cybersecurity matters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The Company has developed, and continues to enhance, processes designed to assess, identify, and manage material risks from cybersecurity threats affecting the information technology systems and information that it owns, uses, transmits, receives, and maintains. These processes are integrated into the Company's broader enterprise risk management framework and include the identification, assessment, mitigation, monitoring, and remediation of cybersecurity risks. The Company's cybersecurity program includes employee awareness training, incident response planning, continuous monitoring of cybersecurity threats and vulnerabilities, and evaluation of cybersecurity risks associated with third-party service providers.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is responsible for assessing and managing the Company's material cybersecurity risks. This responsibility is carried out by members of the Company's executive leadership team and personnel responsible for information technology and cybersecurity functions who possess experience in information technology, information security, risk management, and incident response. Management oversees cybersecurity risk assessment and mitigation activities, cybersecurity controls, incident response readiness, and the escalation of significant cybersecurity matters to senior management and the Audit Committee,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utilizes internal personnel and, when appropriate, third-party service providers, advisors, and specialists to support cybersecurity risk management activities, including security monitoring, risk assessments, and evaluation of cybersecurity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The Company has not experienced any cybersecurity incidents that have materially affected the Company, including its business strategy, results of operations, or financial condition, and expenses incurred from cybersecurity incidents have been immaterial. However, as discussed under "Risk Factors" in Part I, Item 1A of this Annual Report, cybersecurity threats pose multiple and potentially material risks to the Company, including risks that could materially affect its business strategy, results of operations, or financial condition. As cybersecurity threats become more frequent, sophisticated, and coordinated, it is reasonably likely that the Company will continue to invest resources to enhance its cybersecurity risk management processes and protective measures.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leases a facility in Milwaukee, Wisconsin, U.S.A., which serves as its corporate headquarters.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Manufacturing Segment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owns two facilities in Racine, Wisconsin, U.S.A. One facility is for manufacturing, assembly, and office purposes, and the other facility is the former corporate headquarters that is now classified as an idle asset. The Company also owns three facilities in Finland (two in Tampere and one in Ikaalinen) and one facility in Italy (Decima). These facilities are for manufacturing, assembly and office purposes. The aggregate floor space of these facilities approximates 739,200 square feet. The Company leases additional manufacturing, assembly and office facilities in Sturtevant, Wisconsin; Lufkin, Texas; Papendrecht, Netherlands; Nivelles, Belgium; Novazzano, Switzerland; Decima, Italy; Tampere, Finland; and, Surrey,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Distribution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also has operations in the following locations, all of which are leased and are used for sales offices, warehousing, and light assembly or product service:</w:t>
      </w:r>
    </w:p>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2810"/>
        <w:gridCol w:w="1970"/>
      </w:tblGrid>
      <w:tr>
        <w:trPr/>
        <w:tc>
          <w:tcPr>
            <w:tcW w:w="28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Brisbane, Queensland, Australia</w:t>
            </w:r>
          </w:p>
        </w:tc>
        <w:tc>
          <w:tcPr>
            <w:tcW w:w="19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Chennai, India</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Gold Coast, Queensland, Australia</w:t>
            </w:r>
          </w:p>
        </w:tc>
        <w:tc>
          <w:tcPr>
            <w:tcW w:w="19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Coimbatore, India</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Singapore</w:t>
            </w:r>
          </w:p>
        </w:tc>
        <w:tc>
          <w:tcPr>
            <w:tcW w:w="19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Saitama City, Japan</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Shanghai, China</w:t>
            </w:r>
          </w:p>
        </w:tc>
        <w:tc>
          <w:tcPr>
            <w:tcW w:w="19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Auckland, New Zealand</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Guangzhou, China</w:t>
            </w:r>
          </w:p>
        </w:tc>
        <w:tc>
          <w:tcPr>
            <w:tcW w:w="19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believes its properties are well maintained and adequate for its present and anticipated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is a defendant in certain product liability or related claims of which the ultimate outcome and liability to the Company, if any, are not presently determinable. Management believes that the final disposition of such litigation will not have a material impact on the Company’s results of operations, financial position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Information About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General Instruction G(3) of Form 10</w:t>
        <w:noBreakHyphen/>
        <w:t>K, the following list is included as an unnumbered Item in Part I of this Report in lieu of being included in the Proxy Statement for the Annual Meeting of Shareholders to be held on October 29, 2026.</w:t>
      </w:r>
    </w:p>
    <w:p>
      <w:pPr>
        <w:pStyle w:val="TextBody"/>
        <w:bidi w:val="0"/>
        <w:spacing w:before="0" w:after="0"/>
        <w:ind w:left="0" w:right="0" w:hanging="0"/>
        <w:jc w:val="left"/>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1490"/>
        <w:gridCol w:w="350"/>
        <w:gridCol w:w="6005"/>
      </w:tblGrid>
      <w:tr>
        <w:trPr/>
        <w:tc>
          <w:tcPr>
            <w:tcW w:w="149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Name</w:t>
            </w:r>
          </w:p>
        </w:tc>
        <w:tc>
          <w:tcPr>
            <w:tcW w:w="35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Age</w:t>
            </w:r>
          </w:p>
        </w:tc>
        <w:tc>
          <w:tcPr>
            <w:tcW w:w="600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Position</w:t>
            </w:r>
          </w:p>
        </w:tc>
      </w:tr>
      <w:tr>
        <w:trPr/>
        <w:tc>
          <w:tcPr>
            <w:tcW w:w="14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H. Batten</w:t>
            </w:r>
          </w:p>
        </w:tc>
        <w:tc>
          <w:tcPr>
            <w:tcW w:w="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w:t>
            </w:r>
          </w:p>
        </w:tc>
        <w:tc>
          <w:tcPr>
            <w:tcW w:w="6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rPr/>
        <w:tc>
          <w:tcPr>
            <w:tcW w:w="14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S. Knutson</w:t>
            </w:r>
          </w:p>
        </w:tc>
        <w:tc>
          <w:tcPr>
            <w:tcW w:w="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w:t>
            </w:r>
          </w:p>
        </w:tc>
        <w:tc>
          <w:tcPr>
            <w:tcW w:w="60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Vice President – Finance, Chief Financial Officer, Treasurer,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Officers are elected annually by the Board of Directors at the Board meeting held in conjunction with each Annual Meeting of the Shareholders. Each officer holds office until a successor is duly elected, or until such officer resigns or is removed from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H. Batten, President and Chief Executive Officer. Effective October 2022, Mr. Batten was renamed President and Chief Executive Officer. Prior to that, Mr. Batten served as Chief Executive Officer since May 2019, President and Chief Executive Officer since July 2013, President and Chief Operations Officer since July 2008, Executive Vice President since October 2004, Vice President and General Manager – Marine Products since October 2001 and Commercial Manager – Marine since 1998. Mr. Batten joined Twin Disc in 1996 as an Application Engineer.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S. Knutson, Vice President – Finance, Chief Financial Officer, Treasurer, and Secretary. Mr. Knutson was named Chief Financial Officer and Treasurer in June 2015. Mr. Knutson was named Vice President – Finance, Interim Chief Financial Officer, and Interim Treasurer in February 2015. Mr. Knutson was appointed Corporate Secretary in June 2013, and was Corporate Controller from his appointment in October 2005 until August 2015. Mr. Knutson joined the Company in February 2005 as Controller of North American Operations. Prior to joining Twin Disc, Mr. Knutson held Operational Controller positions with Tower Automotive (since August 2002) and Rexnord Corporation (since November 1998).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5. Market for the Registrant's Common Stock,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common stock is traded on the NASDAQ Global Select Market under the symbol TWIN.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declaration and payment of future dividends, as well as the amount thereof, are subject to the discretion of our Board of Directors. The amount and size of any future dividends will depend upon our future results of operations, financial condition, capital levels, cash requirements and other factors. Although the Company anticipates that it will continue to pay comparable cash dividends in the future, there can be no assurance that we will declare and pay dividends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information regarding the Company’s equity-based compensation plans, see the discussion under Item 12 of this report. As of August 7, 2026, shareholders of record numbered 282.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Issuer Purchases of Equity Securities</w:t>
      </w:r>
    </w:p>
    <w:p>
      <w:pPr>
        <w:pStyle w:val="TextBody"/>
        <w:bidi w:val="0"/>
        <w:spacing w:before="0" w:after="0"/>
        <w:ind w:left="0" w:right="0" w:hanging="0"/>
        <w:jc w:val="left"/>
        <w:rPr>
          <w:caps w:val="false"/>
          <w:smallCaps w:val="false"/>
        </w:rPr>
      </w:pPr>
      <w:r>
        <w:rPr>
          <w:caps w:val="false"/>
          <w:smallCaps w:val="false"/>
        </w:rPr>
        <w:t> </w:t>
      </w:r>
    </w:p>
    <w:tbl>
      <w:tblPr>
        <w:tblW w:w="8095" w:type="dxa"/>
        <w:jc w:val="left"/>
        <w:tblInd w:w="0" w:type="dxa"/>
        <w:tblLayout w:type="fixed"/>
        <w:tblCellMar>
          <w:top w:w="28" w:type="dxa"/>
          <w:left w:w="28" w:type="dxa"/>
          <w:bottom w:w="28" w:type="dxa"/>
          <w:right w:w="0" w:type="dxa"/>
        </w:tblCellMar>
      </w:tblPr>
      <w:tblGrid>
        <w:gridCol w:w="2645"/>
        <w:gridCol w:w="875"/>
        <w:gridCol w:w="965"/>
        <w:gridCol w:w="1445"/>
        <w:gridCol w:w="2165"/>
      </w:tblGrid>
      <w:tr>
        <w:trPr/>
        <w:tc>
          <w:tcPr>
            <w:tcW w:w="264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Period</w:t>
            </w:r>
          </w:p>
        </w:tc>
        <w:tc>
          <w:tcPr>
            <w:tcW w:w="87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 Total</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Number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Shares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Purchased</w:t>
            </w:r>
          </w:p>
        </w:tc>
        <w:tc>
          <w:tcPr>
            <w:tcW w:w="96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 Average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Price Paid</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 Share</w:t>
            </w:r>
          </w:p>
        </w:tc>
        <w:tc>
          <w:tcPr>
            <w:tcW w:w="144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 Total Number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Shares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Purchased as Part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Publicly</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Announced Plans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 Programs</w:t>
            </w:r>
          </w:p>
        </w:tc>
        <w:tc>
          <w:tcPr>
            <w:tcW w:w="216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 Maximum Number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Shares that May Yet Be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Purchased Under the Plans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 Programs</w:t>
            </w:r>
          </w:p>
        </w:tc>
      </w:tr>
      <w:tr>
        <w:trPr/>
        <w:tc>
          <w:tcPr>
            <w:tcW w:w="2645" w:type="dxa"/>
            <w:tcBorders>
              <w:left w:val="single" w:sz="2" w:space="0" w:color="000000"/>
              <w:bottom w:val="single" w:sz="2" w:space="0" w:color="000000"/>
            </w:tcBorders>
            <w:tcMar>
              <w:top w:w="0" w:type="dxa"/>
              <w:left w:w="30" w:type="dxa"/>
              <w:bottom w:w="3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28, 2026 - April 24, 2026</w:t>
            </w:r>
          </w:p>
        </w:tc>
        <w:tc>
          <w:tcPr>
            <w:tcW w:w="8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w:t>
            </w:r>
          </w:p>
        </w:tc>
        <w:tc>
          <w:tcPr>
            <w:tcW w:w="96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w:t>
            </w:r>
          </w:p>
        </w:tc>
        <w:tc>
          <w:tcPr>
            <w:tcW w:w="14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w:t>
            </w:r>
          </w:p>
        </w:tc>
        <w:tc>
          <w:tcPr>
            <w:tcW w:w="216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315,000</w:t>
            </w:r>
          </w:p>
        </w:tc>
      </w:tr>
      <w:tr>
        <w:trPr/>
        <w:tc>
          <w:tcPr>
            <w:tcW w:w="2645" w:type="dxa"/>
            <w:tcBorders>
              <w:left w:val="single" w:sz="2" w:space="0" w:color="000000"/>
              <w:bottom w:val="single" w:sz="2" w:space="0" w:color="000000"/>
            </w:tcBorders>
            <w:tcMar>
              <w:top w:w="0" w:type="dxa"/>
              <w:left w:w="30" w:type="dxa"/>
              <w:bottom w:w="3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25, 2026 - May 29, 2026</w:t>
            </w:r>
          </w:p>
        </w:tc>
        <w:tc>
          <w:tcPr>
            <w:tcW w:w="8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w:t>
            </w:r>
          </w:p>
        </w:tc>
        <w:tc>
          <w:tcPr>
            <w:tcW w:w="96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w:t>
            </w:r>
          </w:p>
        </w:tc>
        <w:tc>
          <w:tcPr>
            <w:tcW w:w="14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w:t>
            </w:r>
          </w:p>
        </w:tc>
        <w:tc>
          <w:tcPr>
            <w:tcW w:w="216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315,000</w:t>
            </w:r>
          </w:p>
        </w:tc>
      </w:tr>
      <w:tr>
        <w:trPr/>
        <w:tc>
          <w:tcPr>
            <w:tcW w:w="2645" w:type="dxa"/>
            <w:tcBorders>
              <w:left w:val="single" w:sz="2" w:space="0" w:color="000000"/>
              <w:bottom w:val="single" w:sz="2" w:space="0" w:color="000000"/>
            </w:tcBorders>
            <w:tcMar>
              <w:top w:w="0" w:type="dxa"/>
              <w:left w:w="30" w:type="dxa"/>
              <w:bottom w:w="3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30, 2026 - June 30, 2026</w:t>
            </w:r>
          </w:p>
        </w:tc>
        <w:tc>
          <w:tcPr>
            <w:tcW w:w="8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w:t>
            </w:r>
          </w:p>
        </w:tc>
        <w:tc>
          <w:tcPr>
            <w:tcW w:w="96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w:t>
            </w:r>
          </w:p>
        </w:tc>
        <w:tc>
          <w:tcPr>
            <w:tcW w:w="14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w:t>
            </w:r>
          </w:p>
        </w:tc>
        <w:tc>
          <w:tcPr>
            <w:tcW w:w="216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315,000</w:t>
            </w:r>
          </w:p>
        </w:tc>
      </w:tr>
      <w:tr>
        <w:trPr/>
        <w:tc>
          <w:tcPr>
            <w:tcW w:w="2645" w:type="dxa"/>
            <w:tcBorders>
              <w:left w:val="single" w:sz="2" w:space="0" w:color="000000"/>
              <w:bottom w:val="single" w:sz="2" w:space="0" w:color="000000"/>
            </w:tcBorders>
            <w:tcMar>
              <w:top w:w="0" w:type="dxa"/>
              <w:left w:w="30" w:type="dxa"/>
              <w:bottom w:w="3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w:t>
            </w:r>
          </w:p>
        </w:tc>
        <w:tc>
          <w:tcPr>
            <w:tcW w:w="8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w:t>
            </w:r>
          </w:p>
        </w:tc>
        <w:tc>
          <w:tcPr>
            <w:tcW w:w="96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w:t>
            </w:r>
          </w:p>
        </w:tc>
        <w:tc>
          <w:tcPr>
            <w:tcW w:w="14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w:t>
            </w:r>
          </w:p>
        </w:tc>
        <w:tc>
          <w:tcPr>
            <w:tcW w:w="216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315,000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1, 2008, the Board of Directors authorized the purchase of up to 500,000 shares of Common Stock at market values, of which 250,000 shares were purchased during fiscal 2009 and 125,000 shares were purchased during fiscal 2012. On July 27, 2012, the Board of Directors authorized the purchase of an additional 375,000 shares of Common Stock at market values. This authorization has no expiration. During the second quarter of fiscal 2013, the Company purchased 185,000 shares under this authorization. The Company did not make any purchases during fiscal 2026 and 2025. As of June 30, 2026, 315,000 shares remain authorized for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Item 6. Reserved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7.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Special Note Regarding Smaller Reporting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SEC Release 33-10513; 34-83550, Amendments to Smaller Reporting Company Definition, the Company qualifies as a smaller reporting company based on its public float as of the last business day of the second quarter of fiscal 2026. Accordingly, it has scaled some of its disclosures of financial and non-financial information in this annual report. The Company will continue to determine whether to provide additional scaled disclosures of financial or non-financial information in future quarterly reports, annual reports and/or proxy statements if it remains a smaller reporting company under SEC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Note on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report contains statements (including but not limited to certain statements in Items 1, 3, and 7) that are forward-looking as defined by the Securities and Exchange Commission in its rules, regulations and releases.  Forward-looking statements include the Company’s description of plans and objectives for future operations and assumptions behind those plans. The words “anticipates,” “believes,” “intends,” “estimates,” and “expects,” or similar anticipatory expressions, usually identify forward-looking statements.  These statements are based on management’s current expectations that are based on assumptions that are subject to risks and uncertainties.  Actual results may vary because of variations between these assumptions and actual performance.  In addition, goals established by the Company should not be viewed as guarantees or promises of future performance. There can be no assurance the Company will be successful in achieving its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intends that such forward-looking statements qualify for the safe harbors from liability established by the Private Securities Litigation Reform Act of 1995. In addition to the assumptions and information referred to specifically in the forward-looking statements, other factors, including, but not limited to those factors discussed under Item 1A, Risk Factors, could cause actual results to be materially different from what is presented in any forward-looking statements. Accordingly, the making of such statements should not be regarded as a representation by the Company or any other person that the results expressed therein will be achieved. The Company assumes no obligation, and disclaims any obligation, to publicly update or revise any forward-looking statements to reflect subsequent events, new information,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Fiscal 2026 Compared to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for fiscal 2026 increased 11.9%, or $40.5 million, to $381.3 million from $340.7 million in fiscal 2025. The Company’s acquisition of Kobelt in the third fiscal quarter of fiscal 2025 contributed approximately $7.6 million of incremental revenue. Excluding the impact of this acquisition, the Company’s revenue grew by 9.7% in fiscal 2026, as strong growth in the Veth product combined with growing global military demand for both marine and industrial products, along with generally strong market conditions. Currency translation had a favorable impact on fiscal 2026 sales compared to the prior year totaling $17.2 million, primarily due to the strengthening of the euro against the U.S.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for our manufacturing segment increased 15.2%, or $44.9 million, versus the same period last year. The Company’s Veth propulsion operation in the Netherlands experienced an 16.4% increase in sales compared to fiscal 2025. The primary driver for this increase remains growing demand through market and geographic penetration for the Company’s innovative propulsion solutions around the globe, along with improving supply chain and operational performance. The Company’s Katsa operation in Finland experienced an increase of 30.8%, with acceleration in demand from European military applications. The Company’s domestic manufacturing operation experienced a 3.8% increase in sales in fiscal 2026, driven in part by some improvement in oil and gas demand. The Company’s Italian manufacturing operations reported a 29.9% increase in sales from fiscal 2025, with a positive currency impact combining with an improved European industrial demand. The Company’s Belgian manufacturing operation saw a 7.7% decrease in sales from fiscal 2025 with softer demand from domestic customers due to the impact of tariffs. The Company’s Swiss manufacturing operation, which supplies customized propellers for the global mega yacht and patrol boat markets, experienced a 45.9% increase in sales compared to fiscal 2025, primarily due to the collaboration with Veth driving improved pleasure craft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for our distribution segment were down 11.6%, or $15.2 million, compared to fiscal 2025. The Company’s Asian distribution operations in Singapore, China and Japan experienced a 7.8% decrease in sales on somewhat softer demand for energy related products in China. The Company’s North American distribution operation saw a 32.0% decrease on weaker domestic demand for marine products from the European operations due primarily to the impact of tariffs. The Company’s European distribution operation was down 19.0% from the prior year, driven by weaker European demand. The Company’s distribution operation in Australia and New Zealand, which provides boat accessories, propulsion and marine transmission systems for the pleasure craft market, saw a slight increase in revenue (2.3%) on consistent demand for pleasure craft products in the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for the Company’s marine transmission and propulsion systems were up 13.2% in fiscal 2026 compared to the prior fiscal year. This increase reflects generally strong market conditions, continued global growth of the Veth product, the addition of the Kobelt product line for the full fiscal year and improved military demand for marine transmissions. In the off-highway transmission market, the year-over-year increase of 11.9% can be attributed primarily to an increase in global demand for energy related products. The increase experienced in the Company’s industrial products of 11.0% was a function of stronger demand in the North American construction and recycling markets, along with the addition of the Kobelt product line for the full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Geographically, sales to the U.S. and Canada improved 23% in fiscal 2026 compared to fiscal 2025, representing 29.7% of consolidated sales for fiscal 2026 compared to 27.0% in fiscal 2025. The increase is primarily due to the addition of Kobelt, improving Veth demand in the region, improved industrial sales and strong oil and gas related shipments in the fourth quarter. Sales into the Asia Pacific market decreased 3.1% compared to fiscal 2025 and represented approximately 19.2% of sales in fiscal 2026, compared to 22.2% in fiscal 2025. The decrease in fiscal 2026 reflects softening demand for the Company’s oil and gas transmissions in the Chinese market. Sales into the European market improved approximately 16% from fiscal 2025 levels while accounting for 42% of consolidated net sales in fiscal 2026 compared to 41% of net sales in fiscal 2025. The growth is primarily the result of strong demand for the Company’s Veth and Katsa products. See Note J, Business Segments and Foreign Operations, of the notes to the consolidated financial statements for more information on the Company’s business segments and foreign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Considering the impact of the inventory valuation accounting method change from LIFO to FIFO, which increased prior-year gross profit by approximately $1.2 million, fiscal 2026 gross profit increased $8.6 million, or 9.2%, to $102.6 million on a sales increase of $40.5 million. Gross profit as a percentage of sales decreased 70 basis points in fiscal 2026 to 26.9%, compared to 27.6% in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to the impact of the accounting method change from LIFO to FIFO discussed above, several other factors affected the Company’s overall gross profit rate in fiscal 2026. Gross profit for the year was primarily impacted by improved volumes (approximately $11.0 million). This was offset by a less favorable product mix (approximately $1.2 million), primarily related to reduced aftermarket demand and growth in lower margin products. The Company’s margin percentage was diluted by approximately 50 basis points in the year due to the invoicing of tariffs with no margin ($1.9 million). The remaining increase ($1.9 million) is the result of price realization, cost reduction efforts, improved productivity and other adjustments at our operating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Marketing, Engineering and Administrative (ME&amp;A)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Marketing, engineering, and administrative (ME&amp;A) expenses of $84.5 million were up $2.1 million, or 2.5%, in fiscal 2026 compared to the prior fiscal year. As a percentage of sales, ME&amp;A expenses decreased to 22.2% of sales versus 24.2% of sales in fiscal 2025. The increase in ME&amp;A spending in fiscal 2026 compared to the prior year was primarily driven by the addition of the Kobelt operations for a full year ($1.4 million), an inflationary increase to salaries and benefits ($1.0 million) and a currency translation effect ($2.5 million). These increases were partially offset by reductions to the global bonus expense ($1.1 million), lower depreciation and amortization ($1.0 million) and other cost savings ($0.8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Restructuring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course of fiscal 2026 and fiscal 2025 the Company incurred $0.4 million and $0.4 million in restructuring charges, respectively. These charges relate to a continued restructuring program at the Company’s Belgian operation to focus resources on core manufacturing process, while allowing for savings on the outsourcing of non-core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of $3.1 million for fiscal 2026 was $0.4 million higher than fiscal 2025 due to an increased average balance following the two recently completed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fiscal 2026, other expense, net, of $1.3 million decreased by $4.0 million from the prior fiscal year other expense, net, of $5.5 million. This change is primarily due to a decrease in currency translation losses ($6.5 million), offset by an increase in defined benefit pension amortization ($2.0 million) and other miscellaneous items ($0.3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effective tax rate for fiscal 2026 is (102.8%) compared to 113.6% for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maintains valuation allowances when it is more likely than not that all or a portion of a deferred tax asset will not be realized. Changes in valuation allowances from period to period are included in the tax provision in the period of change. In determining whether a valuation allowance is required, the Company takes into account such factors as prior earnings history, expected future earnings, carry-back and carry-forward periods, and tax strategies that could potentially enhance the likelihood of realization of a deferred tax asset. During fiscal 2026, the Company reassessed the realizability of its deferred tax assets and concluded that substantially all of its U.S. valuation allowance was no longer required. As a result, the Company released the valuation allowance and recognized a corresponding income tax benefit. The Company's valuation allowance was $0.1 million and $16.5 million as of June 30, 2026 and 2025, respectively, with prior-year amounts adjusted to reflect the change in inventory valuation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Order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June 30, 2026, the Company’s backlog of orders scheduled for shipment during the next six months (six-month backlog) was $178.3 million or approximately 18.5% higher than the six-month backlog of $150.5 million as of June 30, 2025. The increased backlog is primarily attributable to continued strength in order rates throughout the fiscal year, led by continued growth in demand for the Veth product, along with the addition of Kobelt backlog ($2.8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Fiscal Years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net cash provided by operating activities in fiscal 2026 totaled $22.9 million, a decrease of $1.1 million from the prior fiscal year cash provided by operating activities of $24.0 million. The slight reduction in operating cash flow from the prior year was primarily due to an increase in trade receivables, offset by improved operating results and reduced inventory levels. The increase to trade receivables was volume driven, with the Company reporting a record revenue in the fourth quarter of fiscal 2026. The Company expects trade receivables to continue to move with revenue and will continue to focus on driving inventory reductions through fiscal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net cash used by investing activities for fiscal 2026 primarily represents the acquisition of capital expenditures ($13.7 million). The capital spending amount reflects a decrease from the prior year, driven by some extended lead times on capital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net cash provided by financing activities relates primarily to additional borrowings to finance growth ($0.9 million). This was partially offset by payments for dividends ($2.7 million), payments on finance lease obligations ($1.2 million) and payments on stock compensation withholding taxes ($1.7 million). During fiscal 2026, the Company did not purchase any shares as part of its Board-authorized stock repurchase program. The Company has 315,000 shares remaining under its authorized stock repurchase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Future 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Current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June 30, 2026, Twin Disc, Incorporated (the “Company”) entered into a Credit Agreement (the “Credit Agreement”) among the Company, as Borrower; Kobelt Manufacturing Co. Ltd. ("Kobelt"), as Guarantor; Bank of Montreal, as a Lender, Administrative Agent, Swing Line Lender, and L/C Issuer; and JPMorgan Chase Bank, N.A. ("Chase"), as a Lender. The Credit Agreement refinanced and replaced the credit agreement dated February 14, 2025 among the Company, Kobelt, and Bank of Montreal. Capitalized terms in this Annual Report that are not otherwise defined herein are defined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Credit Agreement, Bank of Montreal and Chase (the “Lenders”) made Term Loans to the Company in an aggregate principal amount of $30,000,000. The maturity date of the Term Loans is June 30, 2031, and the Company is required to make principal installments on the Term Loans of at least $375,000, per quarter (increasing to $562,500 per quarter for the quarter ending on or about September 30, 2028, and $750,000 per quarter for the quarter ending on or about September 30,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also allows the Company to enter into Revolving Loans with the Lenders from time to time prior to June 30, 2031 (the “Revolving Credit Termination Date”) in amounts not to exceed $60,000,000 (the “Revolving Credit Commitment”). The Revolving Credit Commitment includes a $5,000,000 sublimit for Swing Loans and a $4,000,000 sublimit for Letters of Credit that may be requested by the Company from time to time until the Revolving Credit Termination Date. Each Swing Loan or Letter of Credit provided pursuant to the terms of the Credit Agreement shall be a Revolving Loan provided under the Revolving Credit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rates under the Credit Agreement are based on the secured overnight financing rate (“SOFR”), the euro interbank offered rate (the “EURIBO Rate”), the Canadian Overnight Repo Rate Average (the “CORRA”), or a Base Rate based on the highest of the prime rate, federal funds rate, or Term SOFR. Loans under the Credit Agreement are designated as either as SOFR Loans, which accrue interest at a Term SOFR plus an Applicable Margin; Base Rate Loans, which accrue interest at the Base Rate plus an Applicable Margin; Eurodollar Loans, which accrue interest at the EURIBO Rate plus an Applicable Margin; Term CORRA Loans, which accrue interest at an Adjusted Term CORRA plus an Applicable Margin; Daily Compounded CORRA Loans, which accrue interest at a Daily Compounded CORRA plus an Applicable Margin; or Canadian Prime Rate Loans, which accrue interest at the Canadian Prime Rate plus an Applicable Margin. The Applicable Margin for Loans is between 1.50% and 3.00%, and the Applicable Margin for the Unused Revolving Credit Commitment is between 0.15% and 0.30% (each depending on the Company’s Total Funded Debt to EBITDA ratio). The Term Loan has been designated as a SOFR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Borrowings under the Credit Agreement are secured by substantially all of the Company’s and Kobelt’s personal property, including accounts receivable, inventory, machinery and equipment, and intellectual property. The Company has also pledged 65% of its equity interests in certain foreign subsidiaries. To effect these security interests, the Company entered into an Amended and Restated Security Agreement, Amended and Restated IP Security Agreement, Amended and Restated Pledge Agreement, and Amended and Restated Perfection Certificate with the Administrative Agent, and the Company has entered into an Amended Restated Agreement as to Liens and Encumbrances and an Amended and Restated Negative Pledge Agreement with the Administrative Agent with regard to the Company’s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the occurrence of an Event of Default, the Administrative Agent may take the following actions upon written notice to the Company: (1) terminate the remaining Commitments and all obligations of the Lenders under the Credit Agreement; (2) declare the principal and accrued interest of all Loans outstanding under the Credit Agreement to be immediately due and payable; and (3) demand the Company to immediately Cash Collateralize the outstanding L/C Obligations in an amount equal to 105% of the aggregate L/C Obligations. If such Event of Default is due to the Company’s bankruptcy, the actions and obligations listed above shall occur without notice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remains in compliance with its liquidity and other covenants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believes that available cash, the Credit Agreement, the unsecured lines of credit, cash generated from future operations, and potential access to debt markets will be adequate to fund the Company's cash and capital requirements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balance sheet remains strong, there are no material off-balance-sheet arrangements, and it continues to have sufficient liquidity for its near-term needs. The Company had approximately $60.0 million of available borrowings under the Credit Agreement as of June 30, 2026. The Company expects to continue to generate enough cash from operations, as well as its credit facilities, to meet its operating and investing needs. As of June 30, 2026, the Company also had cash of $16.0 million, primarily at its overseas operations. These funds, with some restrictions and tax implications, are available for repatriation as deemed necessary by the Company. In fiscal 2027, the Company expects to contribute $2.0 million to its defined benefit pension plans, the minimum contribution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Considering the impact of the inventory valuation accounting method change from LIFO to FIFO on the prior year adjusted numbers (an increase in inventory of approximately $32 million), in fiscal 2026, net working capital increased $6.4 million, or 4.2%, during fiscal 2026 and the current ratio (calculated as total current assets divided by total current liabilities) increased to 2.3 at June 30, 2026 compared to 2.2 for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Increases in trade receivables ($7.8 million), decrease in other current assets ($2.5 million) and decreases in trade accounts payable ($7.9 million) increased net working capital. These increases were partially offset by decreases in inventories, net ($6.1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expects capital expenditures to be approximately $23 million - $27 million in fiscal 2027. These anticipated expenditures reflect the Company’s plans to invest in modern equipment to drive growth, efficiencies, quality improvements and cost reductions.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believes that available cash, the credit facility, cash generated from future operations, and potential access to debt markets will be adequate to fund the Company’s capital requirements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significant contractual obligations as of June 30, 2026 are discussed in Note H, Lease Obligations in the notes to the consolidated financial statements in Part II, Item 8 of this 2026 Annual Report on Form 10-K.  There are no material undisclosed guarantees.  As of June 30, 2026, the Company had no additional material purchase obligations other than those created in the ordinary course of business related to inventory and property, plant, and equipment, which generally have terms of less than 90 days.  The Company also has long-term obligations related to its postretirement plans which are discussed in detail in Note M, Pension and Other Postretirement Benefit Plans in the notes to consolidated financial statements in Part II, Item 8 of this 2026 Annual Report on Form 10-K.  Postretirement medical claims are paid by the Company as they are submitted, and they are anticipated to be $0.6 million in fiscal 2027 based on actuarial estimates; however, these amounts can vary significantly from year to year because the Company is self-insured. In fiscal 2027, the Company expects to contribute $2.0 million to its defined benefit pension plans, the minimum contribution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preparation of this Annual Report requires management’s judgment to make estimates and assumptions that affect the reported amounts of assets and liabilities, disclosure of contingent assets and liabilities at the dates of the financial statements, and the reported amounts of revenues and expenses during the reporting period. There can be no assurance that actual results will not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significant accounting policies are described in Note A, Description of Business and Summary of Significant Accounting Policies, of the notes to the consolidated financial statements. Not all of these significant accounting policies require management to make difficult, subjective, or complex judgments or estimates. However, the policies management considers most critical to understanding and evaluating its reported financial results are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Pension and Other Postretirement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provides a wide range of benefits to employees and retired employees, including pensions and postretirement health care coverage. Plan assets and obligations are recorded annually based on the Company’s measurement date utilizing discount rates as the significant assumption in determining the obligation as of that date. The approach used to determine the discount rates is based on FTSE Above Median Pension Discount Curve model at June 30, 2026, as applied to the expected payouts from the pension plans. This yield curve is made up of Corporate Bonds rated AA or better.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Measurements of net periodic benefit cost are based on the assumptions used for the previous year-end measurements of assets and obligations. The Company reviews its discount rates on an annual basis and makes modifications when appropriate. The effects of the modifications are recorded currently or amortized over future periods. Based on information provided by its independent actuaries and other relevant sources, the Company believes that the discount rates used are reasonable; however, changes in the discount rates could impact the Company’s financial position,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Income Taxes and Valuation Allowances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assets and liabilities are recognized for the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Company maintains valuation allowances when it is more likely than not that all or a portion of a deferred tax asset will not be realized. In determining whether a valuation allowance is required, the Company takes into account such factors as prior earnings history, expected future earnings, carry-back and carry-forward periods, and tax strategies that could potentially enhance the likelihood of realization of a deferred tax asset. In addition, all other available positive and negative evidence is taken into consideration, including impacts of tax reform.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2026, the Company reassessed the realizability of its deferred tax assets and concluded that substantially all of its U.S. and state valuation allowance was no longer required. As a result, the Company released the valuation allowance and recognized a corresponding income tax benefit. The release was supported by the Company's sustained profitability, including a three-year cumulative income position, as well as tax planning strategies available to support the realization of deferred tax assets. The Company released $23.9 million of valuation allowance during fiscal 2026, of which $16.4 million was recognized as an income tax benefit in the Consolidated Statement of Operations and Comprehensive Income (Loss), and $7.4 million was recorded directly to retained earnings in connection with the change in inventory valuation method from LIFO to FIFO. The Company's valuation allowance was $0.1 million and $16.5 million as of June 30, 2026 and 2025, respectively, with prior-year amounts adjusted to reflect the change in inventory valuation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June 30, 2026, the identified tax planning strategies had been fully implemented. The Company's determination that substantially all of the valuation allowance was no longer required as of December 26, 2025 involved significant judgment and consideration of all available positive and negative evidence, including the prudence, feasibility, and expected implementation of the tax planning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Recently Issued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A, Description of Business and Summary of Significant Accounting Policies, of the notes to the consolidated financial statements for a discussion of recently issued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7A. Quantitative and Qualitative Disclosure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electing not to provide this disclosure due to its status as a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Consolidated Financial Statements and Financial Statement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 Change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Conclusion Regarding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required by Rules 13a-15(e) and 15d-15(e) of the Securities Exchange Act of 1934, as of the end of the period covered by this report and under the supervision and with the participation of management, including the Chief Executive Officer and the Chief Financial Officer, the Company has evaluated the effectiveness of the design and operation of its disclosure controls and procedures. Based on such evaluation, the Chief Executive Officer and Chief Financial Officer have concluded that such disclosure controls and procedures are effective to provide reasonable assurance that information required to be disclosed by the Company in the reports it files or submits under the Exchange Act is recorded, processed, summarized and reported within the time periods specified in the Securities and Exchange Commission rules and forms, and to provide reasonable assurance that information required to be disclosed by the Company in the reports it files or submits under the Exchange Act is accumulated and communicated to the Company’s management, including its principal executive and principal financial officers, as appropriate, to allow timely decisions regarding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of the Company is responsible for establishing and maintaining adequate internal control over financial reporting.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3"/>
        <w:gridCol w:w="9982"/>
      </w:tblGrid>
      <w:tr>
        <w:trPr/>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pertain to the maintenance of records that, in reasonable detail, accurately and fairly reflect the transactions and dispositions of the Company,</w:t>
            </w:r>
          </w:p>
        </w:tc>
      </w:tr>
    </w:tbl>
    <w:tbl>
      <w:tblPr>
        <w:tblW w:w="10205" w:type="dxa"/>
        <w:jc w:val="left"/>
        <w:tblInd w:w="0" w:type="dxa"/>
        <w:tblLayout w:type="fixed"/>
        <w:tblCellMar>
          <w:top w:w="0" w:type="dxa"/>
          <w:left w:w="0" w:type="dxa"/>
          <w:bottom w:w="0" w:type="dxa"/>
          <w:right w:w="0" w:type="dxa"/>
        </w:tblCellMar>
      </w:tblPr>
      <w:tblGrid>
        <w:gridCol w:w="60"/>
        <w:gridCol w:w="140"/>
        <w:gridCol w:w="1000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tc>
      </w:tr>
    </w:tbl>
    <w:tbl>
      <w:tblPr>
        <w:tblW w:w="10205" w:type="dxa"/>
        <w:jc w:val="left"/>
        <w:tblInd w:w="0" w:type="dxa"/>
        <w:tblLayout w:type="fixed"/>
        <w:tblCellMar>
          <w:top w:w="0" w:type="dxa"/>
          <w:left w:w="0" w:type="dxa"/>
          <w:bottom w:w="0" w:type="dxa"/>
          <w:right w:w="0" w:type="dxa"/>
        </w:tblCellMar>
      </w:tblPr>
      <w:tblGrid>
        <w:gridCol w:w="60"/>
        <w:gridCol w:w="151"/>
        <w:gridCol w:w="9994"/>
      </w:tblGrid>
      <w:tr>
        <w:trPr/>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9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provide reasonable assurance regarding prevention or timely detection of unauthorized acquisition, use or disposition of the Company’s assets that could have a material effect on the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the effectiveness to future periods are subject to the risk that controls may become inadequate because of changes in conditions, or that the degree of compliance with the policies and procedures included in such controls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conducted an evaluation of the effectiveness of its internal control over financial reporting based upon the </w:t>
      </w:r>
      <w:r>
        <w:rPr>
          <w:rFonts w:ascii="Times New Roman" w:hAnsi="Times New Roman"/>
          <w:i/>
          <w:caps w:val="false"/>
          <w:smallCaps w:val="false"/>
          <w:sz w:val="20"/>
        </w:rPr>
        <w:t>Internal Control</w:t>
      </w:r>
      <w:r>
        <w:rPr>
          <w:rFonts w:ascii="Times New Roman" w:hAnsi="Times New Roman"/>
          <w:caps w:val="false"/>
          <w:smallCaps w:val="false"/>
          <w:sz w:val="20"/>
        </w:rPr>
        <w:t>—</w:t>
      </w:r>
      <w:r>
        <w:rPr>
          <w:rFonts w:ascii="Times New Roman" w:hAnsi="Times New Roman"/>
          <w:i/>
          <w:caps w:val="false"/>
          <w:smallCaps w:val="false"/>
          <w:sz w:val="20"/>
        </w:rPr>
        <w:t>Integrated Framework</w:t>
      </w:r>
      <w:r>
        <w:rPr>
          <w:rFonts w:ascii="Times New Roman" w:hAnsi="Times New Roman"/>
          <w:caps w:val="false"/>
          <w:smallCaps w:val="false"/>
          <w:sz w:val="20"/>
        </w:rPr>
        <w:t xml:space="preserve"> issued by the Committee of Sponsoring Organizations of the Treadway Commission (“COSO”) in 2013. Based upon such evaluation, the Company’s management concluded that its internal control over financial reporting was effective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RSM US LLP, an independent registered public accounting firm, has audited the Company’s internal control over financial reporting as of June 30, 2026, as stated in their report which appears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fourth quarter of fiscal 2026, there have not been any changes in the Company’s internal control over financial reporting that have materially affected, or are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9B.</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information with respect to the executive officers of the Registrant, see "Information About Our Executive Officers" at the end of Part I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For information with respect to the Directors of the Registrant, see "Election of Directors" in the Proxy Statement for the Annual Meeting of Shareholders to be held on </w:t>
      </w:r>
      <w:r>
        <w:rPr>
          <w:rStyle w:val="Emphasis"/>
          <w:rFonts w:ascii="Times New Roman" w:hAnsi="Times New Roman"/>
          <w:caps w:val="false"/>
          <w:smallCaps w:val="false"/>
          <w:sz w:val="20"/>
        </w:rPr>
        <w:t xml:space="preserve">October 29, 2026, </w:t>
      </w:r>
      <w:r>
        <w:rPr>
          <w:rFonts w:ascii="Times New Roman" w:hAnsi="Times New Roman"/>
          <w:caps w:val="false"/>
          <w:smallCaps w:val="false"/>
          <w:sz w:val="20"/>
        </w:rPr>
        <w:t>which is incorporated into this report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For information with respect to the Company’s Code of Ethics, see "Guidelines for Business Conduct and Ethics” in the Proxy Statement for the Annual Meeting of Shareholders to be held on </w:t>
      </w:r>
      <w:r>
        <w:rPr>
          <w:rStyle w:val="Emphasis"/>
          <w:rFonts w:ascii="Times New Roman" w:hAnsi="Times New Roman"/>
          <w:caps w:val="false"/>
          <w:smallCaps w:val="false"/>
          <w:sz w:val="20"/>
        </w:rPr>
        <w:t xml:space="preserve">October 29, 2026, </w:t>
      </w:r>
      <w:r>
        <w:rPr>
          <w:rFonts w:ascii="Times New Roman" w:hAnsi="Times New Roman"/>
          <w:caps w:val="false"/>
          <w:smallCaps w:val="false"/>
          <w:sz w:val="20"/>
        </w:rPr>
        <w:t xml:space="preserve">which is incorporated into this report by reference. The Company’s Code of Ethics is included on the Company’s website, www.twindisc.com. If the Company makes any substantive amendment to the Code of Ethics, or grants a waiver from a provision of the Code of Ethics for its Chief Executive Officer, Chief Financial Officer or Chief Accounting Officer (or any person performing similar functions), it intends to disclose the nature of such amendment on its website within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business days of the amendment or waiver in lieu of filing a Form </w:t>
      </w:r>
      <w:r>
        <w:rPr>
          <w:rStyle w:val="Emphasis"/>
          <w:rFonts w:ascii="Times New Roman" w:hAnsi="Times New Roman"/>
          <w:caps w:val="false"/>
          <w:smallCaps w:val="false"/>
          <w:sz w:val="20"/>
        </w:rPr>
        <w:t>8</w:t>
      </w:r>
      <w:r>
        <w:rPr>
          <w:rFonts w:ascii="Times New Roman" w:hAnsi="Times New Roman"/>
          <w:caps w:val="false"/>
          <w:smallCaps w:val="false"/>
          <w:sz w:val="20"/>
        </w:rPr>
        <w:t>-K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For information with respect to procedures by which shareholders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recommend nominees to the Company’s Board of Directors, see “Director Committee Functions: Nominating and Governance Committee” in the Proxy Statement for the Annual Meeting of Shareholders to be held on </w:t>
      </w:r>
      <w:r>
        <w:rPr>
          <w:rStyle w:val="Emphasis"/>
          <w:rFonts w:ascii="Times New Roman" w:hAnsi="Times New Roman"/>
          <w:caps w:val="false"/>
          <w:smallCaps w:val="false"/>
          <w:sz w:val="20"/>
        </w:rPr>
        <w:t xml:space="preserve">October 29, 2026, </w:t>
      </w:r>
      <w:r>
        <w:rPr>
          <w:rFonts w:ascii="Times New Roman" w:hAnsi="Times New Roman"/>
          <w:caps w:val="false"/>
          <w:smallCaps w:val="false"/>
          <w:sz w:val="20"/>
        </w:rPr>
        <w:t xml:space="preserve">which is incorporated into this report by reference.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changes to these procedures since the Company’s last disclosure relating to these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For information with respect to the Audit Committee Financial Expert, see “Director Committee Functions: Audit Committee” in the Proxy Statement for the Annual Meeting of Shareholders to be held on </w:t>
      </w:r>
      <w:r>
        <w:rPr>
          <w:rStyle w:val="Emphasis"/>
          <w:rFonts w:ascii="Times New Roman" w:hAnsi="Times New Roman"/>
          <w:caps w:val="false"/>
          <w:smallCaps w:val="false"/>
          <w:sz w:val="20"/>
        </w:rPr>
        <w:t xml:space="preserve">October 29, 2026, </w:t>
      </w:r>
      <w:r>
        <w:rPr>
          <w:rFonts w:ascii="Times New Roman" w:hAnsi="Times New Roman"/>
          <w:caps w:val="false"/>
          <w:smallCaps w:val="false"/>
          <w:sz w:val="20"/>
        </w:rPr>
        <w:t>which is incorporated into this report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For information with respect to the Audit Committee Disclosure, see “Director Committee Functions: Audit Committee” in the Proxy Statement for the Annual Meeting of Shareholders to be held on </w:t>
      </w:r>
      <w:r>
        <w:rPr>
          <w:rStyle w:val="Emphasis"/>
          <w:rFonts w:ascii="Times New Roman" w:hAnsi="Times New Roman"/>
          <w:caps w:val="false"/>
          <w:smallCaps w:val="false"/>
          <w:sz w:val="20"/>
        </w:rPr>
        <w:t xml:space="preserve">October 29, 2026, </w:t>
      </w:r>
      <w:r>
        <w:rPr>
          <w:rFonts w:ascii="Times New Roman" w:hAnsi="Times New Roman"/>
          <w:caps w:val="false"/>
          <w:smallCaps w:val="false"/>
          <w:sz w:val="20"/>
        </w:rPr>
        <w:t>which is incorporated into this report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 xml:space="preserve">For information with respect to the Audit Committee Membership, see “Director Committee Functions: Committee Membership” in the Proxy Statement for the Annual Meeting of Shareholders to be held on </w:t>
      </w:r>
      <w:r>
        <w:rPr>
          <w:rStyle w:val="Emphasis"/>
          <w:rFonts w:ascii="Times New Roman" w:hAnsi="Times New Roman"/>
          <w:caps w:val="false"/>
          <w:smallCaps w:val="false"/>
          <w:sz w:val="20"/>
        </w:rPr>
        <w:t xml:space="preserve">October 29, 2026, </w:t>
      </w:r>
      <w:r>
        <w:rPr>
          <w:rFonts w:ascii="Times New Roman" w:hAnsi="Times New Roman"/>
          <w:caps w:val="false"/>
          <w:smallCaps w:val="false"/>
          <w:sz w:val="20"/>
        </w:rPr>
        <w:t>which is incorporated into this report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For information with respect to the Company’s Insider Trading Policy, see “Insider Trading Policy” in the Proxy Statement for the Annual Meeting of Shareholders to be held on </w:t>
      </w:r>
      <w:r>
        <w:rPr>
          <w:rStyle w:val="Emphasis"/>
          <w:rFonts w:ascii="Times New Roman" w:hAnsi="Times New Roman"/>
          <w:caps w:val="false"/>
          <w:smallCaps w:val="false"/>
          <w:sz w:val="20"/>
        </w:rPr>
        <w:t xml:space="preserve">October 29, 2026, </w:t>
      </w:r>
      <w:r>
        <w:rPr>
          <w:rFonts w:ascii="Times New Roman" w:hAnsi="Times New Roman"/>
          <w:caps w:val="false"/>
          <w:smallCaps w:val="false"/>
          <w:sz w:val="20"/>
        </w:rPr>
        <w:t>which is incorporated into this report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For information regarding compliance with Section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(a) of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see “Delinquent Section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(a) Reports” in the Proxy Statement for the Annual Meeting of Shareholders to be held on </w:t>
      </w:r>
      <w:r>
        <w:rPr>
          <w:rStyle w:val="Emphasis"/>
          <w:rFonts w:ascii="Times New Roman" w:hAnsi="Times New Roman"/>
          <w:caps w:val="false"/>
          <w:smallCaps w:val="false"/>
          <w:sz w:val="20"/>
        </w:rPr>
        <w:t xml:space="preserve">October 29, 2026, </w:t>
      </w:r>
      <w:r>
        <w:rPr>
          <w:rFonts w:ascii="Times New Roman" w:hAnsi="Times New Roman"/>
          <w:caps w:val="false"/>
          <w:smallCaps w:val="false"/>
          <w:sz w:val="20"/>
        </w:rPr>
        <w:t>which is incorporated into this report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information set forth under the captions "Executive Compensation" and "Director Compensation” in the Proxy Statement for the Annual Meeting of Shareholders to be held on </w:t>
      </w:r>
      <w:r>
        <w:rPr>
          <w:rStyle w:val="Emphasis"/>
          <w:rFonts w:ascii="Times New Roman" w:hAnsi="Times New Roman"/>
          <w:caps w:val="false"/>
          <w:smallCaps w:val="false"/>
          <w:sz w:val="20"/>
        </w:rPr>
        <w:t xml:space="preserve">October 29, 2026, </w:t>
      </w:r>
      <w:r>
        <w:rPr>
          <w:rFonts w:ascii="Times New Roman" w:hAnsi="Times New Roman"/>
          <w:caps w:val="false"/>
          <w:smallCaps w:val="false"/>
          <w:sz w:val="20"/>
        </w:rPr>
        <w:t>is incorporated into this report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information regarding security ownership of certain beneficial owners and management, see the Proxy Statement for the Annual Meeting of Shareholders to be held on October 29, 2026, under the captions "Principal Shareholders” and “Directors and Executive Officers" and incorporated into this report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information regarding securities authorized for issuance under equity compensation plans of the Company, see “Equity Compensation Plan Information” in the Proxy Statement for the Annual Meeting of Shareholders to be held on October 29, 2026, which is incorporated into this report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are no arrangements known to the Registrant, the operation of which may at a subsequent date result in a change in control of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13. Certain Relationships and Related Transactions,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information with respect to transactions with related persons, see “Corporate Governance – Transactions with Related Persons” in the Proxy Statement for the Annual Meeting of Shareholders to be held on October 29, 2026, which is incorporated into this report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information with respect to director independence, see “Corporate Governance – Board Independence” in the Proxy Statement for the Annual Meeting of Shareholders to be held on October 29, 2026, which is incorporated into this report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14. Principal Accounting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incorporates by reference the information contained in the Proxy Statement for the Annual Meeting of Shareholders to be held on October 29, 2026, under the headings “Fees to Independent Registered Public Accounting Firm” and “Pre-approval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15. Exhibits,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(a)(1)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Index to Consolidated Financial Statements and Financial Statement Schedule, the Report of Independent Registered Public Accounting Firm and the Consolidated Financial Statements, all of which are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(a)(2) Consolidated Financial Statement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Index to Consolidated Financial Statements and Financial Statement Schedule, and the Consolidated Financial Statement Schedule, all of which are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(a)(3) Exhibits. See Exhibit Index included as the last page of this form, which is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 TO CONSOLIDATED FINANCIAL STATEMENTS AND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FINANCIAL STATEMENT SCHEDULE</w:t>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9605"/>
        <w:gridCol w:w="500"/>
      </w:tblGrid>
      <w:tr>
        <w:trPr/>
        <w:tc>
          <w:tcPr>
            <w:tcW w:w="9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INDEX TO CONSOLIDATED FINANCIAL STATEMENTS</w:t>
            </w:r>
          </w:p>
        </w:tc>
        <w:tc>
          <w:tcPr>
            <w:tcW w:w="50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Page</w:t>
            </w:r>
          </w:p>
        </w:tc>
      </w:tr>
      <w:tr>
        <w:trPr/>
        <w:tc>
          <w:tcPr>
            <w:tcW w:w="960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r>
      <w:tr>
        <w:trPr/>
        <w:tc>
          <w:tcPr>
            <w:tcW w:w="96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Report of Independent Registered Public Accounting Firm, RSM US LLP, Milwaukee, Wisconsin, PCAOB ID No.49</w:t>
            </w:r>
          </w:p>
        </w:tc>
        <w:tc>
          <w:tcPr>
            <w:tcW w:w="5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23-25</w:t>
            </w:r>
          </w:p>
        </w:tc>
      </w:tr>
      <w:tr>
        <w:trPr/>
        <w:tc>
          <w:tcPr>
            <w:tcW w:w="960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r>
      <w:tr>
        <w:trPr/>
        <w:tc>
          <w:tcPr>
            <w:tcW w:w="96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Balance Sheets as of June 30, 2026 and 2025</w:t>
            </w:r>
          </w:p>
        </w:tc>
        <w:tc>
          <w:tcPr>
            <w:tcW w:w="5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26</w:t>
            </w:r>
          </w:p>
        </w:tc>
      </w:tr>
      <w:tr>
        <w:trPr/>
        <w:tc>
          <w:tcPr>
            <w:tcW w:w="960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r>
      <w:tr>
        <w:trPr/>
        <w:tc>
          <w:tcPr>
            <w:tcW w:w="96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Operations and Comprehensive Income (Loss) for the years ended June 30, 2026 and 2025</w:t>
            </w:r>
          </w:p>
        </w:tc>
        <w:tc>
          <w:tcPr>
            <w:tcW w:w="500" w:type="dxa"/>
            <w:tcBorders/>
            <w:shd w:fill="CCEEFF" w:val="clear"/>
            <w:vAlign w:val="center"/>
          </w:tcPr>
          <w:p>
            <w:pPr>
              <w:pStyle w:val="TableContents"/>
              <w:bidi w:val="0"/>
              <w:spacing w:before="0" w:after="283"/>
              <w:jc w:val="left"/>
              <w:rPr/>
            </w:pPr>
            <w:r>
              <w:rPr/>
              <w:t>27</w:t>
            </w:r>
          </w:p>
        </w:tc>
      </w:tr>
      <w:tr>
        <w:trPr/>
        <w:tc>
          <w:tcPr>
            <w:tcW w:w="96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96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Cash Flows for the years ended June 30, 2026 and 2025</w:t>
            </w:r>
          </w:p>
        </w:tc>
        <w:tc>
          <w:tcPr>
            <w:tcW w:w="5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28</w:t>
            </w:r>
          </w:p>
        </w:tc>
      </w:tr>
      <w:tr>
        <w:trPr/>
        <w:tc>
          <w:tcPr>
            <w:tcW w:w="960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r>
      <w:tr>
        <w:trPr/>
        <w:tc>
          <w:tcPr>
            <w:tcW w:w="96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Changes in Equity for the years ended June 30, 2026 and 2025</w:t>
            </w:r>
          </w:p>
        </w:tc>
        <w:tc>
          <w:tcPr>
            <w:tcW w:w="5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29</w:t>
            </w:r>
          </w:p>
        </w:tc>
      </w:tr>
      <w:tr>
        <w:trPr/>
        <w:tc>
          <w:tcPr>
            <w:tcW w:w="960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r>
      <w:tr>
        <w:trPr/>
        <w:tc>
          <w:tcPr>
            <w:tcW w:w="96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Notes to Consolidated Financial Statements</w:t>
            </w:r>
          </w:p>
        </w:tc>
        <w:tc>
          <w:tcPr>
            <w:tcW w:w="5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30-73</w:t>
            </w:r>
          </w:p>
        </w:tc>
      </w:tr>
      <w:tr>
        <w:trPr/>
        <w:tc>
          <w:tcPr>
            <w:tcW w:w="960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r>
      <w:tr>
        <w:trPr/>
        <w:tc>
          <w:tcPr>
            <w:tcW w:w="9605"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r>
      <w:tr>
        <w:trPr/>
        <w:tc>
          <w:tcPr>
            <w:tcW w:w="96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INDEX TO FINANCIAL STATEMENT SCHEDULE</w:t>
            </w:r>
          </w:p>
        </w:tc>
        <w:tc>
          <w:tcPr>
            <w:tcW w:w="500" w:type="dxa"/>
            <w:tcBorders/>
            <w:shd w:fill="FFFFFF" w:val="clear"/>
            <w:vAlign w:val="center"/>
          </w:tcPr>
          <w:p>
            <w:pPr>
              <w:pStyle w:val="TableContents"/>
              <w:bidi w:val="0"/>
              <w:spacing w:before="0" w:after="283"/>
              <w:jc w:val="left"/>
              <w:rPr/>
            </w:pPr>
            <w:r>
              <w:rPr/>
              <w:t> </w:t>
            </w:r>
          </w:p>
        </w:tc>
      </w:tr>
      <w:tr>
        <w:trPr/>
        <w:tc>
          <w:tcPr>
            <w:tcW w:w="9605"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r>
      <w:tr>
        <w:trPr/>
        <w:tc>
          <w:tcPr>
            <w:tcW w:w="96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Schedule II - Valuation and Qualifying Accounts</w:t>
            </w:r>
          </w:p>
        </w:tc>
        <w:tc>
          <w:tcPr>
            <w:tcW w:w="5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Schedules, other than those listed, are omitted for the reason that they are inapplicable, are not required, or the information required is shown in the financial statements or the related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Shareholders and the Board of Directors of Twin Disc,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Opinion on the Internal Control Over Financial Reporting</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audited Twin Disc Incorporated’s (the Company) internal control over financial reporting as of June 30, 2026, based on criteria established in Internal Control—Integrated Framework issued by the Committee of Sponsoring Organizations of the Treadway Commission in 2013. In our opinion, the Company maintained, in all material respects, effective internal control over financial reporting as of June 30, 2026, based on criteria established in Internal Control—Integrated Framework issued by the Committee of Sponsoring Organizations of the Treadway Commission in 2013.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also audited, in accordance with the standards of the Public Company Accounting Oversight Board (United States) (PCAOB), the consolidated financial statements of the Company and our report dated September 4, 2026 expressed an unqualified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Company’s management is responsible for maintaining effective internal control over financial reporting and for its assessment of the effectiveness of internal control over financial reporting in the accompanying </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Report on Internal Control over Financial Reporting in Item 9A</w:t>
      </w:r>
      <w:r>
        <w:rPr>
          <w:rFonts w:ascii="Times New Roman" w:hAnsi="Times New Roman"/>
          <w:caps w:val="false"/>
          <w:smallCaps w:val="false"/>
          <w:sz w:val="20"/>
        </w:rPr>
        <w:t>.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 and Limitations of Internal Control Over Financial Reporting</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RSM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Milwaukee, Wisconsin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September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Shareholders and the Board of Directors of Twin Disc,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Opinion on the Financial Statements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Twin Disc, Incorporated and its subsidiaries (the Company) as of June 30, 2026 and 2025, the related consolidated statements of operations and comprehensive income (loss), changes in equity and cash flows for each of the two years in the period ended June 30, 2026, and the related notes to the consolidated financial statements and schedule (collectively, the financial statements). In our opinion, the financial statements present fairly, in all material respects, the financial position of the Company as of June 30, 2026 and 2025, and the results of its operations and its cash flows for each of the two years in the period ended June 30, 2026,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also audited, in accordance with the standards of the Public Company Accounting Oversight Board (United States) (PCAOB), the Company’s internal control over financial reporting as of June 30, 2026, based on criteria established in Internal Control—Integrated Framework issued by the Committee of Sponsoring Organizations of the Treadway Commission in 2013, and our report dated September 4, 2026 expressed an unqualified opinion on the effectiveness of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Change in Accounting Principle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discussed in Notes A, B and S to the consolidated financial statements, at June 30, 2026 the Company elected to change its method of accounting for certain inventories in the United States from the last-in, first-out (LIFO) method to the first-in, first-out (FIFO) method for all years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Basis for Opinion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Critical Audit Matters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Deferred Tax Asset Realizability and Release of the Valuation Allowance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described in Note N to the consolidated financial statements, the Company concluded that it was more likely than not that substantially all of its domestic deferred tax assets would be realized and, accordingly, released the full domestic valuation allowance of approximately $16,400,000 (as adjusted) during the quarter ended December 26,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recognizes deferred tax assets and liabilities for the expected future income tax consequences of events that have been recognized in the Company’s financial statements. Valuation allowances are provided for deferred tax assets where it is considered more likely than not that the Company will not realize the benefit of such assets. In evaluating the realizability of deferred tax assets in future periods, the available positive and negative evidence, including historical book income or losses, projected future taxable income exclusive of reversing temporary differences, tax planning strategies and results of recent operations, are allowable sources of income that can be considered. In making the determination to release the full valuation allowance, management specifically considered recent financial history, including the three-year cumulative taxable income, and income tax planning strategies approved by management intended to facilitate the utilization of deferred tax assets and expiring tax attributes. Income tax planning strategies included contemplated tax accounting method changes and other actions designed to accelerate future taxable income and increase the utilization of the Company’s deferred tax assets and carryforwards, including its net operating losses and tax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identified management’s determination of the realizability of the Company’s deferred tax assets and the release of the full valuation allowance on domestic deferred tax assets as a critical audit matter as there is significant judgment required by management to conclude that it is more likely than not that the deferred tax assets will be realized in future periods. In particular, management’s conclusion involved significant judgment in evaluating whether the identified income tax planning strategies were prudent, feasible, and expected to be implemented. Three-year cumulative taxable income was considered as observable historical evidence, and management did not rely on forecasted future book income in reaching its conclusion. In addition, the auditing of these elements involved complex and subjective auditor judgment, including the need to involve personnel with specialized skill and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audit procedures to evaluate management’s determination that it is more likely than not that the deferred tax assets will be realized and that the release of the valuation allowance was appropriate included the following,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evaluated the design and operating effectiveness of internal controls over income taxes, specifically, those controls over the evaluation of the realizability of deferred tax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evaluated management’s assessment of positive and negative evidence supporting realization of deferred tax assets, including consideration of the Company’s three-year cumulative taxable income position, which represented historical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evaluated the reasonableness of management’s tax-planning strategies, including assessing whether the strategies were prudent and feasible, whether management had the intent and ability to implement the strategies, and whether the anticipated tax consequences were consistent with applicable tax rules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utilized personnel with specialized knowledge and skill in income taxes and accounting for income taxes under Accounting Standards Codification (ASC) 740 to assist in the evaluation of management’s assessment of positive and negative evidence and their conclusion that it is more likely than not that the Company will realize the benefit of its deferred tax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RSM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served as the Company’s auditor since 2017.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Milwaukee, Wisconsin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September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TWIN DISC, INCORPORATED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2026 and 2025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 amounts)</w:t>
      </w:r>
    </w:p>
    <w:p>
      <w:pPr>
        <w:pStyle w:val="TextBody"/>
        <w:bidi w:val="0"/>
        <w:spacing w:before="0" w:after="0"/>
        <w:ind w:left="0" w:right="0" w:hanging="0"/>
        <w:jc w:val="left"/>
        <w:rPr>
          <w:caps w:val="false"/>
          <w:smallCaps w:val="false"/>
        </w:rPr>
      </w:pPr>
      <w:r>
        <w:rPr>
          <w:caps w:val="false"/>
          <w:smallCaps w:val="false"/>
        </w:rPr>
        <w:t> </w:t>
      </w:r>
    </w:p>
    <w:tbl>
      <w:tblPr>
        <w:tblW w:w="8089" w:type="dxa"/>
        <w:jc w:val="left"/>
        <w:tblInd w:w="0" w:type="dxa"/>
        <w:tblLayout w:type="fixed"/>
        <w:tblCellMar>
          <w:top w:w="0" w:type="dxa"/>
          <w:left w:w="0" w:type="dxa"/>
          <w:bottom w:w="0" w:type="dxa"/>
          <w:right w:w="0" w:type="dxa"/>
        </w:tblCellMar>
      </w:tblPr>
      <w:tblGrid>
        <w:gridCol w:w="6020"/>
        <w:gridCol w:w="60"/>
        <w:gridCol w:w="125"/>
        <w:gridCol w:w="695"/>
        <w:gridCol w:w="60"/>
        <w:gridCol w:w="60"/>
        <w:gridCol w:w="153"/>
        <w:gridCol w:w="856"/>
        <w:gridCol w:w="60"/>
      </w:tblGrid>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Adjusted</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16,109</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58,941</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184,085</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19,914</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279,049</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69,576</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operating lease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17,250</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2,892</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13,361</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2,812</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2,756</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387,696</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AND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long-term debt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right-of use operating lease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3,393</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38,745</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80,655</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125,793</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28,446</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operating lease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14,357</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retirement benefits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11,832</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4,320</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6,423</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191,171</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Twin Disc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shares authorized: 200,000; issued: none; no par value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shares authorized: 30,000,000; issued: 14,632,802; no par value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42,269</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157,548</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203,547</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treasury stock, at cost (209,263 and 482,181 shares,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7,402</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Twin Disc, Incorporated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219,654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196,145</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196,525</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387,696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notes to consolidated financial statements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TWIN DISC, INCORPORATED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OPERATIONS AND COMPREHENSIVE INCOME (LOSS)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years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9734" w:type="dxa"/>
        <w:jc w:val="left"/>
        <w:tblInd w:w="0" w:type="dxa"/>
        <w:tblLayout w:type="fixed"/>
        <w:tblCellMar>
          <w:top w:w="0" w:type="dxa"/>
          <w:left w:w="0" w:type="dxa"/>
          <w:bottom w:w="0" w:type="dxa"/>
          <w:right w:w="0" w:type="dxa"/>
        </w:tblCellMar>
      </w:tblPr>
      <w:tblGrid>
        <w:gridCol w:w="7625"/>
        <w:gridCol w:w="60"/>
        <w:gridCol w:w="125"/>
        <w:gridCol w:w="695"/>
        <w:gridCol w:w="80"/>
        <w:gridCol w:w="60"/>
        <w:gridCol w:w="153"/>
        <w:gridCol w:w="856"/>
        <w:gridCol w:w="80"/>
      </w:tblGrid>
      <w:tr>
        <w:trPr/>
        <w:tc>
          <w:tcPr>
            <w:tcW w:w="7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Adjusted</w:t>
            </w:r>
          </w:p>
        </w:tc>
        <w:tc>
          <w:tcPr>
            <w:tcW w:w="80" w:type="dxa"/>
            <w:tcBorders/>
            <w:vAlign w:val="center"/>
          </w:tcPr>
          <w:p>
            <w:pPr>
              <w:pStyle w:val="TableContents"/>
              <w:bidi w:val="0"/>
              <w:spacing w:before="0" w:after="283"/>
              <w:jc w:val="left"/>
              <w:rPr/>
            </w:pPr>
            <w:r>
              <w:rPr/>
              <w:t> </w:t>
            </w:r>
          </w:p>
        </w:tc>
      </w:tr>
      <w:tr>
        <w:trPr/>
        <w:tc>
          <w:tcPr>
            <w:tcW w:w="7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7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381,270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340,738</w:t>
            </w:r>
          </w:p>
        </w:tc>
        <w:tc>
          <w:tcPr>
            <w:tcW w:w="80"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278,710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245,236</w:t>
            </w:r>
          </w:p>
        </w:tc>
        <w:tc>
          <w:tcPr>
            <w:tcW w:w="80"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 - 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w:t>
            </w:r>
          </w:p>
        </w:tc>
        <w:tc>
          <w:tcPr>
            <w:tcW w:w="80"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93,923</w:t>
            </w:r>
          </w:p>
        </w:tc>
        <w:tc>
          <w:tcPr>
            <w:tcW w:w="80"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engineering and administrative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82,431</w:t>
            </w:r>
          </w:p>
        </w:tc>
        <w:tc>
          <w:tcPr>
            <w:tcW w:w="80"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80"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11,084</w:t>
            </w:r>
          </w:p>
        </w:tc>
        <w:tc>
          <w:tcPr>
            <w:tcW w:w="80"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income taxes and 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2,966</w:t>
            </w:r>
          </w:p>
        </w:tc>
        <w:tc>
          <w:tcPr>
            <w:tcW w:w="80"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income (loss) attributable to noncontrolling interest, net of tax</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80"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Twin Disc, Incorporated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p>
        </w:tc>
        <w:tc>
          <w:tcPr>
            <w:tcW w:w="80"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(loss) per share data: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(loss) per share attributable to Twin Disc, Incorporated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(loss) per share attributable to Twin Disc, Incorporated common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data: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13,856</w:t>
            </w:r>
          </w:p>
        </w:tc>
        <w:tc>
          <w:tcPr>
            <w:tcW w:w="80"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13,856</w:t>
            </w:r>
          </w:p>
        </w:tc>
        <w:tc>
          <w:tcPr>
            <w:tcW w:w="80"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 plan adjustments, net of income taxes of $452 and $13,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15,924</w:t>
            </w:r>
          </w:p>
        </w:tc>
        <w:tc>
          <w:tcPr>
            <w:tcW w:w="80"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(loss) on hedges, net of income taxes of $0 and $0,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10,272</w:t>
            </w:r>
          </w:p>
        </w:tc>
        <w:tc>
          <w:tcPr>
            <w:tcW w:w="80"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Comprehensive income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80"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 attributable to Twin Disc, Incorporated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notes to consolidated financial statements are an integral part of these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TWIN DISC, INCORPORATED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years ended June 30, 2026 and 2025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9809" w:type="dxa"/>
        <w:jc w:val="left"/>
        <w:tblInd w:w="0" w:type="dxa"/>
        <w:tblLayout w:type="fixed"/>
        <w:tblCellMar>
          <w:top w:w="0" w:type="dxa"/>
          <w:left w:w="0" w:type="dxa"/>
          <w:bottom w:w="0" w:type="dxa"/>
          <w:right w:w="0" w:type="dxa"/>
        </w:tblCellMar>
      </w:tblPr>
      <w:tblGrid>
        <w:gridCol w:w="7640"/>
        <w:gridCol w:w="60"/>
        <w:gridCol w:w="125"/>
        <w:gridCol w:w="755"/>
        <w:gridCol w:w="80"/>
        <w:gridCol w:w="60"/>
        <w:gridCol w:w="143"/>
        <w:gridCol w:w="866"/>
        <w:gridCol w:w="80"/>
      </w:tblGrid>
      <w:tr>
        <w:trPr/>
        <w:tc>
          <w:tcPr>
            <w:tcW w:w="7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Adjusted</w:t>
            </w:r>
          </w:p>
        </w:tc>
        <w:tc>
          <w:tcPr>
            <w:tcW w:w="80" w:type="dxa"/>
            <w:tcBorders/>
            <w:vAlign w:val="center"/>
          </w:tcPr>
          <w:p>
            <w:pPr>
              <w:pStyle w:val="TableContents"/>
              <w:bidi w:val="0"/>
              <w:spacing w:before="0" w:after="283"/>
              <w:jc w:val="left"/>
              <w:rPr/>
            </w:pPr>
            <w:r>
              <w:rPr/>
              <w:t> </w:t>
            </w:r>
          </w:p>
        </w:tc>
      </w:tr>
      <w:tr>
        <w:trPr/>
        <w:tc>
          <w:tcPr>
            <w:tcW w:w="7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(loss) to net cash provided (used)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14,899</w:t>
            </w:r>
          </w:p>
        </w:tc>
        <w:tc>
          <w:tcPr>
            <w:tcW w:w="8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write-down of industrial product inventory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w:t>
            </w:r>
          </w:p>
        </w:tc>
        <w:tc>
          <w:tcPr>
            <w:tcW w:w="8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w:t>
            </w:r>
          </w:p>
        </w:tc>
        <w:tc>
          <w:tcPr>
            <w:tcW w:w="8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w:t>
            </w:r>
          </w:p>
        </w:tc>
        <w:tc>
          <w:tcPr>
            <w:tcW w:w="8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 net of acquired business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2,748</w:t>
            </w:r>
          </w:p>
        </w:tc>
        <w:tc>
          <w:tcPr>
            <w:tcW w:w="8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2,414</w:t>
            </w:r>
          </w:p>
        </w:tc>
        <w:tc>
          <w:tcPr>
            <w:tcW w:w="8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12,463</w:t>
            </w:r>
          </w:p>
        </w:tc>
        <w:tc>
          <w:tcPr>
            <w:tcW w:w="8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retirement benefits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(used)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23,979</w:t>
            </w:r>
          </w:p>
        </w:tc>
        <w:tc>
          <w:tcPr>
            <w:tcW w:w="8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capital expenditures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Kobelt, less cash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8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(used) by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long-term debt agreement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8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revolving loan arrangements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122,264</w:t>
            </w:r>
          </w:p>
        </w:tc>
        <w:tc>
          <w:tcPr>
            <w:tcW w:w="8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revolving loan arrangements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other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right-of-use finance lease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to shareholders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to 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used in net share settlement of restricted stock units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withholding taxes on stock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(used) by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5,924</w:t>
            </w:r>
          </w:p>
        </w:tc>
        <w:tc>
          <w:tcPr>
            <w:tcW w:w="8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20,070</w:t>
            </w:r>
          </w:p>
        </w:tc>
        <w:tc>
          <w:tcPr>
            <w:tcW w:w="8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16,109</w:t>
            </w:r>
          </w:p>
        </w:tc>
        <w:tc>
          <w:tcPr>
            <w:tcW w:w="8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during the year for: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2,221</w:t>
            </w:r>
          </w:p>
        </w:tc>
        <w:tc>
          <w:tcPr>
            <w:tcW w:w="8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notes to consolidated financial statements are an integral part of these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TWIN DISC, INCORPORATED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CHANGES IN EQUITY</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years ended June 30, 2026 and 2025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10"/>
        <w:gridCol w:w="60"/>
        <w:gridCol w:w="134"/>
        <w:gridCol w:w="636"/>
        <w:gridCol w:w="80"/>
        <w:gridCol w:w="60"/>
        <w:gridCol w:w="125"/>
        <w:gridCol w:w="695"/>
        <w:gridCol w:w="80"/>
        <w:gridCol w:w="60"/>
        <w:gridCol w:w="225"/>
        <w:gridCol w:w="1070"/>
        <w:gridCol w:w="80"/>
        <w:gridCol w:w="60"/>
        <w:gridCol w:w="140"/>
        <w:gridCol w:w="615"/>
        <w:gridCol w:w="80"/>
        <w:gridCol w:w="60"/>
        <w:gridCol w:w="239"/>
        <w:gridCol w:w="756"/>
        <w:gridCol w:w="80"/>
        <w:gridCol w:w="60"/>
        <w:gridCol w:w="125"/>
        <w:gridCol w:w="695"/>
        <w:gridCol w:w="80"/>
      </w:tblGrid>
      <w:tr>
        <w:trPr/>
        <w:tc>
          <w:tcPr>
            <w:tcW w:w="3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55"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Twin Disc, Inc. Shareholders’ Equity</w:t>
            </w:r>
          </w:p>
        </w:tc>
        <w:tc>
          <w:tcPr>
            <w:tcW w:w="80" w:type="dxa"/>
            <w:tcBorders/>
            <w:vAlign w:val="center"/>
          </w:tcPr>
          <w:p>
            <w:pPr>
              <w:pStyle w:val="TableContents"/>
              <w:bidi w:val="0"/>
              <w:spacing w:before="0" w:after="283"/>
              <w:jc w:val="left"/>
              <w:rPr/>
            </w:pPr>
            <w:r>
              <w:rPr/>
              <w:t> </w:t>
            </w:r>
          </w:p>
        </w:tc>
      </w:tr>
      <w:tr>
        <w:trPr/>
        <w:tc>
          <w:tcPr>
            <w:tcW w:w="3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3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3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3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xml:space="preserve">Income (Loss)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Interest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0" w:type="dxa"/>
            <w:tcBorders/>
            <w:vAlign w:val="center"/>
          </w:tcPr>
          <w:p>
            <w:pPr>
              <w:pStyle w:val="TableContents"/>
              <w:bidi w:val="0"/>
              <w:spacing w:before="0" w:after="283"/>
              <w:jc w:val="left"/>
              <w:rPr/>
            </w:pPr>
            <w:r>
              <w:rPr/>
              <w:t> </w:t>
            </w:r>
          </w:p>
        </w:tc>
      </w:tr>
      <w:tr>
        <w:trPr/>
        <w:tc>
          <w:tcPr>
            <w:tcW w:w="39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2024 (As Adjusted)</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185,991</w:t>
            </w:r>
          </w:p>
        </w:tc>
        <w:tc>
          <w:tcPr>
            <w:tcW w:w="80" w:type="dxa"/>
            <w:tcBorders/>
            <w:shd w:fill="CCEEFF" w:val="clear"/>
            <w:vAlign w:val="center"/>
          </w:tcPr>
          <w:p>
            <w:pPr>
              <w:pStyle w:val="TableContents"/>
              <w:bidi w:val="0"/>
              <w:spacing w:before="0" w:after="283"/>
              <w:jc w:val="left"/>
              <w:rPr/>
            </w:pPr>
            <w:r>
              <w:rPr/>
              <w:t> </w:t>
            </w:r>
          </w:p>
        </w:tc>
      </w:tr>
      <w:tr>
        <w:trPr/>
        <w:tc>
          <w:tcPr>
            <w:tcW w:w="3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to shareholders and non-controlling interest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Translation adjustments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10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15,924</w:t>
            </w:r>
          </w:p>
        </w:tc>
        <w:tc>
          <w:tcPr>
            <w:tcW w:w="80" w:type="dxa"/>
            <w:tcBorders/>
            <w:shd w:fill="CCEEFF" w:val="clear"/>
            <w:vAlign w:val="center"/>
          </w:tcPr>
          <w:p>
            <w:pPr>
              <w:pStyle w:val="TableContents"/>
              <w:bidi w:val="0"/>
              <w:spacing w:before="0" w:after="283"/>
              <w:jc w:val="left"/>
              <w:rPr/>
            </w:pPr>
            <w:r>
              <w:rPr/>
              <w:t> </w:t>
            </w:r>
          </w:p>
        </w:tc>
      </w:tr>
      <w:tr>
        <w:trPr/>
        <w:tc>
          <w:tcPr>
            <w:tcW w:w="3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 plan adjustments, net of tax</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10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on hedges, net of tax</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10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expense</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w:t>
            </w:r>
          </w:p>
        </w:tc>
        <w:tc>
          <w:tcPr>
            <w:tcW w:w="80" w:type="dxa"/>
            <w:tcBorders/>
            <w:shd w:fill="FFFFFF" w:val="clear"/>
            <w:vAlign w:val="center"/>
          </w:tcPr>
          <w:p>
            <w:pPr>
              <w:pStyle w:val="TableContents"/>
              <w:bidi w:val="0"/>
              <w:spacing w:before="0" w:after="283"/>
              <w:jc w:val="left"/>
              <w:rPr/>
            </w:pPr>
            <w:r>
              <w:rPr/>
              <w:t> </w:t>
            </w:r>
          </w:p>
        </w:tc>
      </w:tr>
      <w:tr>
        <w:trPr/>
        <w:tc>
          <w:tcPr>
            <w:tcW w:w="3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awards, net of tax</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center"/>
              <w:rPr/>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2" w:space="0" w:color="000000"/>
            </w:tcBorders>
            <w:shd w:fill="CCEEFF" w:val="clear"/>
            <w:tcMar>
              <w:bottom w:w="28" w:type="dxa"/>
            </w:tcMar>
            <w:vAlign w:val="center"/>
          </w:tcPr>
          <w:p>
            <w:pPr>
              <w:pStyle w:val="TableContents"/>
              <w:bidi w:val="0"/>
              <w:spacing w:before="0" w:after="283"/>
              <w:jc w:val="center"/>
              <w:rPr/>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283"/>
              <w:jc w:val="center"/>
              <w:rPr/>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2025 (As Adjusted)</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157,548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10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196,525</w:t>
            </w:r>
          </w:p>
        </w:tc>
        <w:tc>
          <w:tcPr>
            <w:tcW w:w="80" w:type="dxa"/>
            <w:tcBorders/>
            <w:shd w:fill="CCEEFF" w:val="clear"/>
            <w:vAlign w:val="center"/>
          </w:tcPr>
          <w:p>
            <w:pPr>
              <w:pStyle w:val="TableContents"/>
              <w:bidi w:val="0"/>
              <w:spacing w:before="0" w:after="283"/>
              <w:jc w:val="left"/>
              <w:rPr/>
            </w:pPr>
            <w:r>
              <w:rPr/>
              <w:t> </w:t>
            </w:r>
          </w:p>
        </w:tc>
      </w:tr>
      <w:tr>
        <w:trPr/>
        <w:tc>
          <w:tcPr>
            <w:tcW w:w="3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27,570</w:t>
            </w:r>
          </w:p>
        </w:tc>
        <w:tc>
          <w:tcPr>
            <w:tcW w:w="80" w:type="dxa"/>
            <w:tcBorders/>
            <w:shd w:fill="CCEEFF" w:val="clear"/>
            <w:vAlign w:val="center"/>
          </w:tcPr>
          <w:p>
            <w:pPr>
              <w:pStyle w:val="TableContents"/>
              <w:bidi w:val="0"/>
              <w:spacing w:before="0" w:after="283"/>
              <w:jc w:val="left"/>
              <w:rPr/>
            </w:pPr>
            <w:r>
              <w:rPr/>
              <w:t> </w:t>
            </w:r>
          </w:p>
        </w:tc>
      </w:tr>
      <w:tr>
        <w:trPr/>
        <w:tc>
          <w:tcPr>
            <w:tcW w:w="3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to shareholders and non-controlling interest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Translation adjustments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10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 plan adjustments, net of tax</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10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2,708</w:t>
            </w:r>
          </w:p>
        </w:tc>
        <w:tc>
          <w:tcPr>
            <w:tcW w:w="80" w:type="dxa"/>
            <w:tcBorders/>
            <w:shd w:fill="FFFFFF" w:val="clear"/>
            <w:vAlign w:val="center"/>
          </w:tcPr>
          <w:p>
            <w:pPr>
              <w:pStyle w:val="TableContents"/>
              <w:bidi w:val="0"/>
              <w:spacing w:before="0" w:after="283"/>
              <w:jc w:val="left"/>
              <w:rPr/>
            </w:pPr>
            <w:r>
              <w:rPr/>
              <w:t> </w:t>
            </w:r>
          </w:p>
        </w:tc>
      </w:tr>
      <w:tr>
        <w:trPr/>
        <w:tc>
          <w:tcPr>
            <w:tcW w:w="3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(loss) on hedges, net of tax</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10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expense</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3,845</w:t>
            </w:r>
          </w:p>
        </w:tc>
        <w:tc>
          <w:tcPr>
            <w:tcW w:w="80" w:type="dxa"/>
            <w:tcBorders/>
            <w:shd w:fill="FFFFFF" w:val="clear"/>
            <w:vAlign w:val="center"/>
          </w:tcPr>
          <w:p>
            <w:pPr>
              <w:pStyle w:val="TableContents"/>
              <w:bidi w:val="0"/>
              <w:spacing w:before="0" w:after="283"/>
              <w:jc w:val="left"/>
              <w:rPr/>
            </w:pPr>
            <w:r>
              <w:rPr/>
              <w:t> </w:t>
            </w:r>
          </w:p>
        </w:tc>
      </w:tr>
      <w:tr>
        <w:trPr/>
        <w:tc>
          <w:tcPr>
            <w:tcW w:w="3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awards, net of tax</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center"/>
              <w:rPr/>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2" w:space="0" w:color="000000"/>
            </w:tcBorders>
            <w:shd w:fill="CCEEFF" w:val="clear"/>
            <w:tcMar>
              <w:bottom w:w="28" w:type="dxa"/>
            </w:tcMar>
            <w:vAlign w:val="center"/>
          </w:tcPr>
          <w:p>
            <w:pPr>
              <w:pStyle w:val="TableContents"/>
              <w:bidi w:val="0"/>
              <w:spacing w:before="0" w:after="283"/>
              <w:jc w:val="center"/>
              <w:rPr/>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283"/>
              <w:jc w:val="center"/>
              <w:rPr/>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40,252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182,340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219,936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notes to consolidated financial statements are an integral part of these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TWIN DISC, INCORPORATED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IN THOUSANDS, EXCEPT SHARE AMOUNTS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DESCRIPTION OF BUSINESS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Nature of Operations</w:t>
      </w:r>
      <w:r>
        <w:rPr>
          <w:rFonts w:ascii="Times New Roman" w:hAnsi="Times New Roman"/>
          <w:caps w:val="false"/>
          <w:smallCaps w:val="false"/>
          <w:sz w:val="20"/>
        </w:rPr>
        <w:noBreakHyphen/>
        <w:noBreakHyphen/>
        <w:t xml:space="preserve">Twin Disc, Incorporated (“Twin Disc”, or the “Company”) was incorporated under the laws of the state of Wisconsin in </w:t>
      </w:r>
      <w:r>
        <w:rPr>
          <w:rStyle w:val="Emphasis"/>
          <w:rFonts w:ascii="Times New Roman" w:hAnsi="Times New Roman"/>
          <w:caps w:val="false"/>
          <w:smallCaps w:val="false"/>
          <w:sz w:val="20"/>
        </w:rPr>
        <w:t>1918.</w:t>
      </w:r>
      <w:r>
        <w:rPr>
          <w:rFonts w:ascii="Times New Roman" w:hAnsi="Times New Roman"/>
          <w:caps w:val="false"/>
          <w:smallCaps w:val="false"/>
          <w:sz w:val="20"/>
        </w:rPr>
        <w:t xml:space="preserve"> Twin Disc designs, manufactures and sells marine and heavy duty off</w:t>
        <w:noBreakHyphen/>
        <w:t>highway power transmission equipment. The Company has manufacturing locations in the United States, Belgium, Canada, Finland, Italy, the Netherlands, and Switzerland. In addition to these countries, it has distribution locations in Singapore, China, Australia, New Zealand and Japan. Products offered include: marine transmissions, azimuth drives, surface drives, propellers and boat management systems as well as power-shift transmissions, hydraulic torque converters, power take-offs, industrial clutches, controls systems, and braking systems. The Company sells its products to customers primarily in the pleasure craft, commercial, and military marine markets, as well as in the energy and natural resources, government, military, and industrial markets. The Company's worldwide sales to both domestic and foreign customers are transacted through a direct sales force and a distributor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14, 2025, </w:t>
      </w:r>
      <w:r>
        <w:rPr>
          <w:rFonts w:ascii="Times New Roman" w:hAnsi="Times New Roman"/>
          <w:caps w:val="false"/>
          <w:smallCaps w:val="false"/>
          <w:sz w:val="20"/>
        </w:rPr>
        <w:t>the Company completed the acquisition of 100% of the outstanding common stock of Kobelt Manufacturing Co. Ltd. (“Kobelt”). Based in Surrey, British Columbia, Canada, Kobelt is a manufacturer of controls, propulsion, steering, and braking systems to the marine, oil and gas, and industrial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Basis of Presentations</w:t>
      </w:r>
      <w:r>
        <w:rPr>
          <w:rFonts w:ascii="Times New Roman" w:hAnsi="Times New Roman"/>
          <w:caps w:val="false"/>
          <w:smallCaps w:val="false"/>
          <w:sz w:val="20"/>
        </w:rPr>
        <w:noBreakHyphen/>
        <w:noBreakHyphen/>
        <w:t xml:space="preserve">The consolidated financial statements and information included in this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have been prepared pursuant to the rules and regulations of the Securities and Exchange Commission. The financial statements have been prepared in accordance with Generally Accepted Accounting Principles of the United States of America. The Company’s fiscal year end is </w:t>
      </w:r>
      <w:r>
        <w:rPr>
          <w:rStyle w:val="Emphasis"/>
          <w:rFonts w:ascii="Times New Roman" w:hAnsi="Times New Roman"/>
          <w:caps w:val="false"/>
          <w:smallCaps w:val="false"/>
          <w:sz w:val="20"/>
        </w:rPr>
        <w:t>June 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Consolidation Principles</w:t>
      </w:r>
      <w:r>
        <w:rPr>
          <w:rFonts w:ascii="Times New Roman" w:hAnsi="Times New Roman"/>
          <w:caps w:val="false"/>
          <w:smallCaps w:val="false"/>
          <w:sz w:val="20"/>
        </w:rPr>
        <w:noBreakHyphen/>
        <w:noBreakHyphen/>
        <w:t>The consolidated financial statements include the accounts of Twin Disc, Incorporated and its wholly-owned domestic and foreign subsidiaries. All significant intercompany transactions have been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Management Estimates--</w:t>
      </w:r>
      <w:r>
        <w:rPr>
          <w:rFonts w:ascii="Times New Roman" w:hAnsi="Times New Roman"/>
          <w:caps w:val="false"/>
          <w:smallCaps w:val="false"/>
          <w:sz w:val="20"/>
        </w:rPr>
        <w:t>The preparation of financial statements in conformity with generally accepted accounting principles requires management to make estimates and assumptions that affect the reported amounts of assets and liabilities and disclosure of contingent liabilities at the dates of the financial statements and the reported amounts of revenues and expenses during the reporting periods. Actual amounts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Translation of Foreign Currencies</w:t>
      </w:r>
      <w:r>
        <w:rPr>
          <w:rFonts w:ascii="Times New Roman" w:hAnsi="Times New Roman"/>
          <w:caps w:val="false"/>
          <w:smallCaps w:val="false"/>
          <w:sz w:val="20"/>
        </w:rPr>
        <w:noBreakHyphen/>
        <w:noBreakHyphen/>
        <w:t xml:space="preserve">The financial statements of the Company’s non-U.S. subsidiaries that use the local currency as their functional currency are translated to the functional currency of the reporting entity using the current exchange rate for assets and liabilities, the weighted-average exchange rate for the year for revenues and expenses, and the historical exchange rate for the year for equity. The resulting translation adjustments are recorded as a component of accumulated other comprehensive income (loss), which is included in equity. Gains and losses from foreign currency transactions are included in earnings. Included in other income (expense) are foreign currency transaction gain (losses) of $1,699 and ($4,825)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Business Combinations</w:t>
      </w:r>
      <w:r>
        <w:rPr>
          <w:rFonts w:ascii="Times New Roman" w:hAnsi="Times New Roman"/>
          <w:caps w:val="false"/>
          <w:smallCaps w:val="false"/>
          <w:sz w:val="20"/>
        </w:rPr>
        <w:noBreakHyphen/>
        <w:noBreakHyphen/>
        <w:t xml:space="preserve"> In accordance with ASC </w:t>
      </w:r>
      <w:r>
        <w:rPr>
          <w:rStyle w:val="Emphasis"/>
          <w:rFonts w:ascii="Times New Roman" w:hAnsi="Times New Roman"/>
          <w:caps w:val="false"/>
          <w:smallCaps w:val="false"/>
          <w:sz w:val="20"/>
        </w:rPr>
        <w:t>805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“Business Combinations”, the Company accounts for all business combinations using the acquisition method of accounting. Under this method, the Company allocates the fair value of consideration transferred in a business combination to the estimated fair value at the acquisition date of the tangible and intangible assets acquired as well as the liabilities assumed. Acquisition costs are expensed as incurred. Any excess consideration transferred is recorded as goodwill and in instances where the fair value of consideration transferred is less than the estimated fair value of tangible and intangible assets acquired less liabilities assumed, such amounts are recorded as a gain on the bargain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Certain adjustments to the assessed fair values of the assets, liabilities, or non-controlling interests made subsequent to the acquisition date, but within the measurement period, which is up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are recorded as adjustments to goodwill or the gain on the bargain purchase. Any adjustments subsequent to the measurement period are recorded in income. Any cost or equity method interest that the Company holds in the acquired company prior to the acquisition is re-measured to fair value at acquisition with a resulting gain or loss recognized in income for the difference between fair value and the existing book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Cash</w:t>
      </w:r>
      <w:r>
        <w:rPr>
          <w:rFonts w:ascii="Times New Roman" w:hAnsi="Times New Roman"/>
          <w:caps w:val="false"/>
          <w:smallCaps w:val="false"/>
          <w:sz w:val="20"/>
        </w:rPr>
        <w:t xml:space="preserve">--The Company considers all highly liquid investments with original maturities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to be cash equivalent. Under the Company’s cash management system, cash balances at certain banks are funded when checks are presented for payment. To the extent that checks issued,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presented for payment, exceed the balance on hand at the specific bank against which they were written, the amount of those un-presented checks is included in accounts payable. The Company maintains cash in bank accounts in excess of insured limits.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experienced any losses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significant credit risk exists as a result of this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 xml:space="preserve">Accounts Receivable, net </w:t>
      </w:r>
      <w:r>
        <w:rPr>
          <w:rFonts w:ascii="Times New Roman" w:hAnsi="Times New Roman"/>
          <w:caps w:val="false"/>
          <w:smallCaps w:val="false"/>
          <w:sz w:val="20"/>
        </w:rPr>
        <w:t xml:space="preserve">--These represent trade accounts receivable and are stated net of an allowance for credit losses of $1,647 and $1,548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The Company records an allowance for credit losses based on expected credit losses over the contractual life of its receivables. Certain customers are evaluated individually when unique credit risk characteristics indicate heightened expected credit losses, while the remaining portfolio is evaluated collectively based on shared risk characteristics. The estimate incorporates historical collection experience, current conditions, and reasonable and supportable forecasts, including consideration of the aging of receivables, customer concentrations, customer creditworthiness, negotiated changes in payment terms, recent economic trends, and expected future economic conditions. Various factors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adversely impact a customer’s ability to access sufficient liquidity and capital to fund their operations, making the estimation of expected credit losses inherently uncertain. While the Company believes its allowance for credit losses is adequate, actual credit losses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from estimated amounts due to changes in customer-specific factors, economic conditions, or other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Fair Value of Financial Instruments</w:t>
      </w:r>
      <w:r>
        <w:rPr>
          <w:rFonts w:ascii="Times New Roman" w:hAnsi="Times New Roman"/>
          <w:caps w:val="false"/>
          <w:smallCaps w:val="false"/>
          <w:sz w:val="20"/>
        </w:rPr>
        <w:t>--The carrying amount reported in the consolidated balance sheets for cash, trade accounts receivable and accounts payable approximate fair value because of the immediate short-term maturity of these financial instruments</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If measured at fair value, cash would be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 all other items listed above would be classified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 the fair value hierarchy, as defined in Note M, Pension and Other Postretirement Benefit Plans. The Company’s borrowings under the revolving loan agreement, which is classified as long-term debt and consists of loans that are routinely borrowed and repaid throughout the year, approximate fair value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Company’s term loan borrowing, which is SOFR-based, approximates fair value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If measured at fair value in the financial statements, long-term debt (including any current portion) would be classified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Inventories, net</w:t>
      </w:r>
      <w:r>
        <w:rPr>
          <w:rFonts w:ascii="Times New Roman" w:hAnsi="Times New Roman"/>
          <w:caps w:val="false"/>
          <w:smallCaps w:val="false"/>
          <w:sz w:val="20"/>
        </w:rPr>
        <w:noBreakHyphen/>
        <w:noBreakHyphen/>
        <w:t>Inventories are valued at the lower of cost or net realizable value, which includes an estimate for excess and obsolete inventory. Cost has been determined by the first</w:t>
        <w:noBreakHyphen/>
        <w:t>in, first</w:t>
        <w:noBreakHyphen/>
        <w:t xml:space="preserve">out (“FIFO”) basis or average cost methods. Management specifically identifies obsolete products and analyzes historical usage, forecasted production based on future orders, demand forecasts, and economic trends, among others, when evaluating the adequacy of the reserve for excess and obsolete inventory. Inventories include raw materials, work-in-process and finished goods. Certain completed sub-assemblies are classified as finished goods because they are separately marketable products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sold directly to customers as replacement parts or service components, although such items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also be incorporated into the Company’s finished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Change in Accounting Method</w:t>
      </w:r>
    </w:p>
    <w:p>
      <w:pPr>
        <w:pStyle w:val="TextBody"/>
        <w:bidi w:val="0"/>
        <w:spacing w:before="0" w:after="0"/>
        <w:ind w:left="0" w:right="0" w:hanging="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 changed its method of accounting for inventories located in the United States from the last-in, </w:t>
      </w:r>
      <w:r>
        <w:rPr>
          <w:rStyle w:val="Emphasis"/>
          <w:rFonts w:ascii="Times New Roman" w:hAnsi="Times New Roman"/>
          <w:caps w:val="false"/>
          <w:smallCaps w:val="false"/>
          <w:sz w:val="20"/>
        </w:rPr>
        <w:t>first</w:t>
      </w:r>
      <w:r>
        <w:rPr>
          <w:rFonts w:ascii="Times New Roman" w:hAnsi="Times New Roman"/>
          <w:caps w:val="false"/>
          <w:smallCaps w:val="false"/>
          <w:sz w:val="20"/>
        </w:rPr>
        <w:t>-out (“LIFO”) cost method to the FIFO cost method. The Company believes the FIFO method is preferable because it better reflects the current cost of inventory on the consolidated balance sheets, more closely aligns with the physical flow of inventory and the manner in which the Company manages its inventory, improves comparability with industry peers that generally use FIFO or average cost methods, and provides a more consistent basis for evaluating operating results across the Company’s global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change in accounting method was applied retrospectively to all periods presented. Accordingly, prior-period consolidated financial statements have been adjusted as if the FIFO method had been used for the Company’s U.S. inventories in all periods presented. The retrospective application of the change increased the </w:t>
      </w:r>
      <w:r>
        <w:rPr>
          <w:rStyle w:val="Emphasis"/>
          <w:rFonts w:ascii="Times New Roman" w:hAnsi="Times New Roman"/>
          <w:caps w:val="false"/>
          <w:smallCaps w:val="false"/>
          <w:sz w:val="20"/>
        </w:rPr>
        <w:t xml:space="preserve">July 1, 2024 </w:t>
      </w:r>
      <w:r>
        <w:rPr>
          <w:rFonts w:ascii="Times New Roman" w:hAnsi="Times New Roman"/>
          <w:caps w:val="false"/>
          <w:smallCaps w:val="false"/>
          <w:sz w:val="20"/>
        </w:rPr>
        <w:t xml:space="preserve">inventory balance and retained earnings by $30,937, net of tax. The change also affected previously reported inventory, noncurrent deferred income taxes, retained earnings, cost of goods sold, gross profit, income tax expense, net income, and earnings per share for the periods presented. The Consolidated Balance Sheets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Consolidated Statements of Operations and Comprehensive Income (Loss) for the year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the Consolidated Statements of Cash Flows for the year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have been retrospectively adjusted to reflect the change in accounting principle. The primary impact of the change was to eliminate the Company’s LIFO reserve and increase reported inventory and retained earnings, net of the related income tax effects. Because LIFO previously reflected the most recent inventory costs in cost of goods sold, the change to FIFO also affected comparative cost of goods sold, gross profit, income before income taxes, income tax expense, and net income for prior periods. The change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affect cash flows from operations, investing activities, or financing activities, except for the related reclassification of noncash reconciling items within the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See Note B, Inventories, net and Note S, </w:t>
      </w:r>
      <w:r>
        <w:rPr>
          <w:rStyle w:val="Emphasis"/>
          <w:rFonts w:ascii="Times New Roman;Times;serif" w:hAnsi="Times New Roman;Times;serif"/>
          <w:sz w:val="20"/>
        </w:rPr>
        <w:t>2025</w:t>
      </w:r>
      <w:r>
        <w:rPr>
          <w:rFonts w:ascii="Times New Roman;Times;serif" w:hAnsi="Times New Roman;Times;serif"/>
          <w:sz w:val="20"/>
        </w:rPr>
        <w:t xml:space="preserve"> Impact of Accounting Method Change, for additional information regarding the effect of the change on the Company’s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b/>
          <w:caps w:val="false"/>
          <w:smallCaps w:val="false"/>
          <w:sz w:val="20"/>
        </w:rPr>
        <w:t>Property, Plant, and Equipment, net and Depreciation</w:t>
      </w:r>
      <w:r>
        <w:rPr>
          <w:rFonts w:ascii="Times New Roman" w:hAnsi="Times New Roman"/>
          <w:caps w:val="false"/>
          <w:smallCaps w:val="false"/>
          <w:sz w:val="20"/>
        </w:rPr>
        <w:noBreakHyphen/>
        <w:noBreakHyphen/>
        <w:t>Assets are stated at cost. Expenditures for maintenance, repairs and minor renewals are charged against earnings as incurred. Expenditures for major renewals and betterments are capitalized and depreciated. Capital project costs are accumulated in construction-in-progress until completed, at which time the costs are transferred to the relevant asset and commence depreciation. Depreciation is provided on the straight</w:t>
        <w:noBreakHyphen/>
        <w:t xml:space="preserve">line method over the estimated useful lives of the assets. The lives assigned to buildings and related improvements range from 10 to 40 years, and the lives assigned to machinery and equipment range from 5 to 15 years. Upon disposal of property, plant, and equipment, the cost of the asset and the related accumulated depreciation are removed from the accounts and the resulting gain or loss is reflected in earnings. Fully depreciated assets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removed from the accounts until physically disposed.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owned one permanently idled facility with a book value of $3.0 million. This facility is assessed for impairment quarterly and depreciation has ceased. This facility is accounted for within 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Right of Use Lease Assets</w:t>
      </w:r>
      <w:r>
        <w:rPr>
          <w:rFonts w:ascii="Times New Roman" w:hAnsi="Times New Roman"/>
          <w:caps w:val="false"/>
          <w:smallCaps w:val="false"/>
          <w:sz w:val="20"/>
        </w:rPr>
        <w:noBreakHyphen/>
        <w:noBreakHyphen/>
        <w:t xml:space="preserve">In accordance with ASC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the Company’s leases, with lease periods longer than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are recorded on the consolidated balance sheets. These leases primarily consist of office and warehouse facilities, as well as production and office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determines if an arrangement is a lease at contract inception. The lease term begins upon lease commencement, which is when the Company takes possession of the asset,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options to extend or terminate the lease when it is reasonably certain that such options will be exercised. As its lease agreements typically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provide an implicit rate, the Company primarily uses an incremental borrowing rate based upon the information available at lease commencement. In determining the incremental borrowing rate, the Company considers its current borrowing rate, the lease period, and the economic environments where the lease activity is concentrated.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Impairment of Long-lived Assets</w:t>
      </w:r>
      <w:r>
        <w:rPr>
          <w:rFonts w:ascii="Times New Roman" w:hAnsi="Times New Roman"/>
          <w:caps w:val="false"/>
          <w:smallCaps w:val="false"/>
          <w:sz w:val="20"/>
        </w:rPr>
        <w:t xml:space="preserve">--The Company reviews long-lived assets for impairment whenever events or changes in business circumstances indicate that the carrying amount of the assets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fully recoverable. When triggering events are identified, the Company performs undiscounted operating cash flow analyses to determine if an impairment exists for property, plant, and equipment and other long-lived assets, including intangible assets. If an impairment is determined to exist, any related impairment loss is calculated based on fair value. Fair value is primarily determined using discounted cash flow analyses; however, other methods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used to determine the fair value, including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valuations when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Intangible Assets, net</w:t>
      </w:r>
      <w:r>
        <w:rPr>
          <w:rFonts w:ascii="Times New Roman" w:hAnsi="Times New Roman"/>
          <w:caps w:val="false"/>
          <w:smallCaps w:val="false"/>
          <w:sz w:val="20"/>
        </w:rPr>
        <w:t>-- Intangible assets primarily consist of customer relationships, technology know-how, and tradenames, all of which are definite-lived. They were initially valued at fair value at acquisition, and are amortized over their respective useful lives on the basis of straight line or accelerated,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Goodwill</w:t>
      </w:r>
      <w:r>
        <w:rPr>
          <w:rFonts w:ascii="Times New Roman" w:hAnsi="Times New Roman"/>
          <w:caps w:val="false"/>
          <w:smallCaps w:val="false"/>
          <w:sz w:val="20"/>
        </w:rPr>
        <w:t xml:space="preserve">-- The Company reviews goodwill for impairment on a reporting unit basis annually as of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day of the Company’s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fiscal quarter, and whenever events or changes in circumstances (“triggering events”) indicate that the carrying value of goodwill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 significant amount of judgment is involved in determining if an indicator of impairment has occurred. Such indicators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among others: a significant decline in expected future cash flows; a sustained, significant decline in the Company’s stock price and market capitalization; a significant adverse change in legal factors or in the business climate; unanticipated competition; the testing for recoverability of a significant asset group within a reporting unit; and slower growth rates. Any adverse change in these factors could have a significant impact on the recoverability of these assets and could have a material impact on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Goodwill impairment charges are recorded using a simplified </w:t>
      </w:r>
      <w:r>
        <w:rPr>
          <w:rStyle w:val="Emphasis"/>
          <w:rFonts w:ascii="Times New Roman" w:hAnsi="Times New Roman"/>
          <w:caps w:val="false"/>
          <w:smallCaps w:val="false"/>
          <w:sz w:val="20"/>
        </w:rPr>
        <w:t>one</w:t>
      </w:r>
      <w:r>
        <w:rPr>
          <w:rFonts w:ascii="Times New Roman" w:hAnsi="Times New Roman"/>
          <w:caps w:val="false"/>
          <w:smallCaps w:val="false"/>
          <w:sz w:val="20"/>
        </w:rPr>
        <w:t>-step approach. The fair value of a reporting unit, as defined, is compared to the carrying value of the reporting unit, including goodwill. The fair value is primarily determined using discounted cash flow analyses which is driven by projected growth rates, and which applies an appropriate market-participant discount rate; the fair value determined is also compared to the value obtained using a market approach from guideline public company multiples. If the carrying amount exceeds the fair value, that difference is recognized as an impairment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The Company conducted its annual assessment for goodwill impairment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using updated inputs, including appropriate risk-based, country and company specific weighted average discount rates for the Company’s reporting unit with goodwill. The Company completed its impairment testing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concluded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impairments.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circumstances, existing at the measurement date or at other times in the future, or in the numerous estimates associated with management’s judgments, assumptions and estimates made in assessing the fair value of goodwill, could result in an impairment charge in the future. The Company will continue to monitor all significant estimates and impairment indicators, and will perform interim impairment reviews, as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Derivative Financial Instruments</w:t>
      </w:r>
      <w:r>
        <w:rPr>
          <w:rFonts w:ascii="Times New Roman" w:hAnsi="Times New Roman"/>
          <w:caps w:val="false"/>
          <w:smallCaps w:val="false"/>
          <w:sz w:val="20"/>
        </w:rPr>
        <w:t>-</w:t>
      </w:r>
      <w:r>
        <w:rPr>
          <w:rFonts w:ascii="Times New Roman" w:hAnsi="Times New Roman"/>
          <w:b/>
          <w:caps w:val="false"/>
          <w:smallCaps w:val="false"/>
          <w:sz w:val="20"/>
        </w:rPr>
        <w:t>-</w:t>
      </w:r>
      <w:r>
        <w:rPr>
          <w:rFonts w:ascii="Times New Roman" w:hAnsi="Times New Roman"/>
          <w:caps w:val="false"/>
          <w:smallCaps w:val="false"/>
          <w:sz w:val="20"/>
        </w:rPr>
        <w:t>The Company has written policies and procedures that place all financial instruments under the direction of the Company’s corporate treasury department and restrict all derivative transactions to those intended for hedging purposes. The use of financial instruments for trading purposes is prohibited. The Company uses derivative financial instruments to manage certain financial risks. The Company enters into forward contracts to reduce the earnings and cash flow impact of non-functional currency denominated receivables and payables. The Company uses interest rate swap contracts to reduce the exposure to variability in interest rates on floating debt borrowings. The Company designates certain financial instruments as cash flow hedges for accounting purposes. The Company designates certain financial instruments as net investment hedges to reduce the exposure in its foreign currency denominated net investments in wholly-owned subsidiaries. See Note R, Derivative Financial Instruments,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Pension and Other Postretirement Benefits Plans</w:t>
      </w:r>
      <w:r>
        <w:rPr>
          <w:rFonts w:ascii="Times New Roman" w:hAnsi="Times New Roman"/>
          <w:caps w:val="false"/>
          <w:smallCaps w:val="false"/>
          <w:sz w:val="20"/>
        </w:rPr>
        <w:t>-- The Company provides a wide range of benefits to employees and retired employees, including pensions and postretirement health care coverage. Plan assets and obligations are recorded annually based on the Company’s measurement date utilizing various actuarial assumptions such as discount rates, expected return on plan assets, compensation increases, retirement and mortality tables, and health care cost trend rates as of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Income Taxes</w:t>
      </w:r>
      <w:r>
        <w:rPr>
          <w:rFonts w:ascii="Times New Roman" w:hAnsi="Times New Roman"/>
          <w:caps w:val="false"/>
          <w:smallCaps w:val="false"/>
          <w:sz w:val="20"/>
        </w:rPr>
        <w:t xml:space="preserve">--The Company recognizes deferred tax assets and liabilities for the expected future income tax consequences of events that have been recognized in the Company’s financial statements. Under this method, deferred tax assets and liabilities are determined based on the temporary differences between the financial statement carrying amounts and the tax bases of assets and liabilities using enacted tax rates in effect in the years in which temporary differences are expected to reverse. Valuation allowances are provided for deferred tax assets where it is considered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Company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realize the benefit of such assets. The Company evaluates its uncertain tax positions as new information becomes available. Tax benefits are recognized to the extent a position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sustained upon examination by the taxing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Segment Reporting</w:t>
      </w:r>
      <w:r>
        <w:rPr>
          <w:rFonts w:ascii="Times New Roman" w:hAnsi="Times New Roman"/>
          <w:caps w:val="false"/>
          <w:smallCaps w:val="false"/>
          <w:sz w:val="20"/>
        </w:rPr>
        <w:t xml:space="preserve">--Operating segments are defined as components of an enterprise about which separate financial information is available that is evaluated on a regular basis by the chief operating decision maker, or decision making group, in deciding how to allocate resources to an individual segment and in assessing performance.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 identified two operating segments. Refer to Note J, Business Segments and Foreign Operations, of the notes to the consolidated financial statements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Revenue Recognition</w:t>
      </w:r>
      <w:r>
        <w:rPr>
          <w:rFonts w:ascii="Times New Roman" w:hAnsi="Times New Roman"/>
          <w:caps w:val="false"/>
          <w:smallCaps w:val="false"/>
          <w:sz w:val="20"/>
        </w:rPr>
        <w:t xml:space="preserve">--Revenue from contracts with customers is recognized using a </w:t>
      </w:r>
      <w:r>
        <w:rPr>
          <w:rStyle w:val="Emphasis"/>
          <w:rFonts w:ascii="Times New Roman" w:hAnsi="Times New Roman"/>
          <w:caps w:val="false"/>
          <w:smallCaps w:val="false"/>
          <w:sz w:val="20"/>
        </w:rPr>
        <w:t>five</w:t>
      </w:r>
      <w:r>
        <w:rPr>
          <w:rFonts w:ascii="Times New Roman" w:hAnsi="Times New Roman"/>
          <w:caps w:val="false"/>
          <w:smallCaps w:val="false"/>
          <w:sz w:val="20"/>
        </w:rPr>
        <w:t>-step model consisting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3"/>
        <w:gridCol w:w="10012"/>
      </w:tblGrid>
      <w:tr>
        <w:trPr/>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1.</w:t>
            </w:r>
          </w:p>
        </w:tc>
        <w:tc>
          <w:tcPr>
            <w:tcW w:w="100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Identify the contract with a customer</w:t>
            </w:r>
            <w:r>
              <w:rPr>
                <w:rFonts w:ascii="Times New Roman" w:hAnsi="Times New Roman"/>
                <w:caps w:val="false"/>
                <w:smallCaps w:val="false"/>
                <w:sz w:val="20"/>
              </w:rPr>
              <w:t>; The Company’s customers consist of distributors and direct end-users. With regard to distributors, the Company generally has written distribution agreements which describe the terms of the distribution arrangement, such as the product range, the sales territory, product pricing, sales support, payment and returns policy, etc. Customer contracts are generally in the form of acknowledged purchase orders. Services to be rendered, as part of the delivery of those products, are also generally specified. Such services include installation reviews and technical commissioning.</w:t>
            </w:r>
          </w:p>
        </w:tc>
      </w:tr>
    </w:tbl>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2.</w:t>
            </w:r>
          </w:p>
        </w:tc>
        <w:tc>
          <w:tcPr>
            <w:tcW w:w="100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Identify the performance obligations in the contract</w:t>
            </w:r>
            <w:r>
              <w:rPr>
                <w:rFonts w:ascii="Times New Roman" w:hAnsi="Times New Roman"/>
                <w:caps w:val="false"/>
                <w:smallCaps w:val="false"/>
                <w:sz w:val="20"/>
              </w:rPr>
              <w:t>; The Company’s performance obligations primarily consist of product delivery and certain service obligations such as technical commissioning, repair services, installation reviews, and shift development.</w:t>
            </w:r>
          </w:p>
        </w:tc>
      </w:tr>
    </w:tbl>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3.</w:t>
            </w:r>
          </w:p>
        </w:tc>
        <w:tc>
          <w:tcPr>
            <w:tcW w:w="100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Determine the transaction price</w:t>
            </w:r>
            <w:r>
              <w:rPr>
                <w:rFonts w:ascii="Times New Roman" w:hAnsi="Times New Roman"/>
                <w:caps w:val="false"/>
                <w:smallCaps w:val="false"/>
                <w:sz w:val="20"/>
              </w:rPr>
              <w:t>; The transaction price is determined based on the consideration to which the Company expects to be entitled in exchange for those goods or services, including the expected value of variable consideration. Variable consideration is immaterial.</w:t>
            </w:r>
          </w:p>
        </w:tc>
      </w:tr>
    </w:tbl>
    <w:tbl>
      <w:tblPr>
        <w:tblW w:w="10205" w:type="dxa"/>
        <w:jc w:val="left"/>
        <w:tblInd w:w="0" w:type="dxa"/>
        <w:tblLayout w:type="fixed"/>
        <w:tblCellMar>
          <w:top w:w="0" w:type="dxa"/>
          <w:left w:w="0" w:type="dxa"/>
          <w:bottom w:w="0" w:type="dxa"/>
          <w:right w:w="0" w:type="dxa"/>
        </w:tblCellMar>
      </w:tblPr>
      <w:tblGrid>
        <w:gridCol w:w="60"/>
        <w:gridCol w:w="139"/>
        <w:gridCol w:w="10006"/>
      </w:tblGrid>
      <w:tr>
        <w:trPr/>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4.</w:t>
            </w:r>
          </w:p>
        </w:tc>
        <w:tc>
          <w:tcPr>
            <w:tcW w:w="1000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Allocate the transaction price to the performance obligations in the contract</w:t>
            </w:r>
            <w:r>
              <w:rPr>
                <w:rFonts w:ascii="Times New Roman" w:hAnsi="Times New Roman"/>
                <w:caps w:val="false"/>
                <w:smallCaps w:val="false"/>
                <w:sz w:val="20"/>
              </w:rPr>
              <w:t>; The Company determined that the most relevant allocation method for its service obligations is to apply the expected cost plus appropriate margin. This is the Company’s practice of billing for repairs, overhaul, and other product service related time incurred by its technicians.</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33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0"/>
        <w:gridCol w:w="131"/>
        <w:gridCol w:w="10014"/>
      </w:tblGrid>
      <w:tr>
        <w:trPr/>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5.</w:t>
            </w:r>
          </w:p>
        </w:tc>
        <w:tc>
          <w:tcPr>
            <w:tcW w:w="10014" w:type="dxa"/>
            <w:tcBorders/>
            <w:vAlign w:val="center"/>
          </w:tcPr>
          <w:p>
            <w:pPr>
              <w:pStyle w:val="TableContents"/>
              <w:bidi w:val="0"/>
              <w:spacing w:before="0" w:after="0"/>
              <w:ind w:left="0" w:right="0" w:hanging="0"/>
              <w:jc w:val="left"/>
              <w:rPr/>
            </w:pPr>
            <w:r>
              <w:rPr>
                <w:rFonts w:ascii="Times New Roman" w:hAnsi="Times New Roman"/>
                <w:b/>
                <w:caps w:val="false"/>
                <w:smallCaps w:val="false"/>
                <w:sz w:val="20"/>
              </w:rPr>
              <w:t>Recognize revenue</w:t>
            </w:r>
            <w:r>
              <w:rPr>
                <w:rFonts w:ascii="Times New Roman" w:hAnsi="Times New Roman"/>
                <w:caps w:val="false"/>
                <w:smallCaps w:val="false"/>
                <w:sz w:val="20"/>
              </w:rPr>
              <w:t xml:space="preserve">; Revenue is recognized as each performance obligation is satisfied which is typically when the Company transfers control of a good or service to a customer, which can occur over time or at a point in time. For technical commissioning, repairs, installation review, and shift development services, revenue is recognized upon completion of the service. The customer’s ability and intent to pay the transaction price is assessed in determining whether a contract exists with the customer. If collectability of substantially all of the consideration in a contract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 consideration received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recognized as revenue unless the consideration is nonrefundable and the Company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has an obligation to transfer additional goods or services to the customer or collectability becomes probable.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Goods sold to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distributors are subject to an annual return policy, for which a provision is made at the time of shipment based upon historical experience. Goods sold under bill and hold arrangements are recorded as revenue when control has been transferred to the customer and when the reason for the arrangement is substantive, when the product is identified as the customer’s asset, when the product is ready for delivery to the customer, and when the Company cannot use the product or redirect the product to another customer. While significant customer deposits are collected at certain locations, the Company’s payment terms are generally short-term in nature; therefore,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 significant financing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June 30, </w:t>
      </w:r>
      <w:r>
        <w:rPr>
          <w:rFonts w:ascii="Times New Roman" w:hAnsi="Times New Roman"/>
          <w:caps w:val="false"/>
          <w:smallCaps w:val="false"/>
          <w:sz w:val="20"/>
        </w:rPr>
        <w:t>the Company reported the following contract assets and liabilities, which are presented within trade accounts receivable, net, other current assets and accrued liabilities on the consolidated balance sheets, respectively. Deferred revenue represents billings in excess of cost based on milestone billings in the contract and customer deposits represent cash received from customers before performance obligations are fulfilled.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696" w:type="dxa"/>
        <w:jc w:val="left"/>
        <w:tblInd w:w="0" w:type="dxa"/>
        <w:tblLayout w:type="fixed"/>
        <w:tblCellMar>
          <w:top w:w="0" w:type="dxa"/>
          <w:left w:w="0" w:type="dxa"/>
          <w:bottom w:w="0" w:type="dxa"/>
          <w:right w:w="0" w:type="dxa"/>
        </w:tblCellMar>
      </w:tblPr>
      <w:tblGrid>
        <w:gridCol w:w="440"/>
        <w:gridCol w:w="60"/>
        <w:gridCol w:w="261"/>
        <w:gridCol w:w="1018"/>
        <w:gridCol w:w="60"/>
        <w:gridCol w:w="60"/>
        <w:gridCol w:w="228"/>
        <w:gridCol w:w="1081"/>
        <w:gridCol w:w="60"/>
        <w:gridCol w:w="60"/>
        <w:gridCol w:w="209"/>
        <w:gridCol w:w="995"/>
        <w:gridCol w:w="60"/>
        <w:gridCol w:w="60"/>
        <w:gridCol w:w="139"/>
        <w:gridCol w:w="661"/>
        <w:gridCol w:w="60"/>
        <w:gridCol w:w="60"/>
        <w:gridCol w:w="129"/>
        <w:gridCol w:w="611"/>
        <w:gridCol w:w="60"/>
        <w:gridCol w:w="60"/>
        <w:gridCol w:w="210"/>
        <w:gridCol w:w="994"/>
        <w:gridCol w:w="60"/>
      </w:tblGrid>
      <w:tr>
        <w:trPr/>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03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8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w:t>
            </w:r>
          </w:p>
        </w:tc>
        <w:tc>
          <w:tcPr>
            <w:tcW w:w="60"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Costs in Excess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of Billings, Net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Receivable, Net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Contract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Customer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Deposits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Contract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w:t>
            </w:r>
          </w:p>
        </w:tc>
        <w:tc>
          <w:tcPr>
            <w:tcW w:w="60" w:type="dxa"/>
            <w:tcBorders/>
            <w:vAlign w:val="center"/>
          </w:tcPr>
          <w:p>
            <w:pPr>
              <w:pStyle w:val="TableContents"/>
              <w:bidi w:val="0"/>
              <w:spacing w:before="0" w:after="283"/>
              <w:jc w:val="left"/>
              <w:rPr/>
            </w:pPr>
            <w:r>
              <w:rPr/>
              <w:t> </w:t>
            </w:r>
          </w:p>
        </w:tc>
      </w:tr>
      <w:tr>
        <w:trPr/>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vAlign w:val="center"/>
          </w:tcPr>
          <w:p>
            <w:pPr>
              <w:pStyle w:val="TableContents"/>
              <w:bidi w:val="0"/>
              <w:spacing w:before="0" w:after="283"/>
              <w:ind w:left="0" w:right="0" w:hanging="0"/>
              <w:jc w:val="left"/>
              <w:rPr/>
            </w:pPr>
            <w:r>
              <w:rPr/>
              <w:t> </w:t>
            </w:r>
          </w:p>
        </w:tc>
        <w:tc>
          <w:tcPr>
            <w:tcW w:w="2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28,565</w:t>
            </w:r>
          </w:p>
        </w:tc>
        <w:tc>
          <w:tcPr>
            <w:tcW w:w="60" w:type="dxa"/>
            <w:tcBorders/>
            <w:shd w:fill="CCEEFF" w:val="cle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43,202</w:t>
            </w:r>
          </w:p>
        </w:tc>
        <w:tc>
          <w:tcPr>
            <w:tcW w:w="60" w:type="dxa"/>
            <w:tcBorders/>
            <w:shd w:fill="FFFFFF" w:val="clear"/>
            <w:vAlign w:val="center"/>
          </w:tcPr>
          <w:p>
            <w:pPr>
              <w:pStyle w:val="TableContents"/>
              <w:bidi w:val="0"/>
              <w:spacing w:before="0" w:after="283"/>
              <w:jc w:val="left"/>
              <w:rPr/>
            </w:pPr>
            <w:r>
              <w:rPr/>
              <w:t> </w:t>
            </w:r>
          </w:p>
        </w:tc>
      </w:tr>
      <w:tr>
        <w:trPr/>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2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50,749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contracts are generally short-term in nature; therefore, the amount included in contract liabilities at the beginning of the year was recognized as revenue in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Shipping and Handling Fees and Costs</w:t>
      </w:r>
      <w:r>
        <w:rPr>
          <w:rFonts w:ascii="Times New Roman" w:hAnsi="Times New Roman"/>
          <w:caps w:val="false"/>
          <w:smallCaps w:val="false"/>
          <w:sz w:val="20"/>
        </w:rPr>
        <w:t>--The Company records revenue from shipping and handling costs in net sales. The cost associated with shipping and handling of products is reflected in 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 xml:space="preserve">Recently Issued </w:t>
      </w:r>
      <w:r>
        <w:rPr>
          <w:rStyle w:val="Emphasis"/>
          <w:rFonts w:ascii="Times New Roman" w:hAnsi="Times New Roman"/>
          <w:b/>
          <w:caps w:val="false"/>
          <w:smallCaps w:val="false"/>
          <w:sz w:val="20"/>
        </w:rPr>
        <w:t>Not</w:t>
      </w:r>
      <w:r>
        <w:rPr>
          <w:rFonts w:ascii="Times New Roman" w:hAnsi="Times New Roman"/>
          <w:b/>
          <w:caps w:val="false"/>
          <w:smallCaps w:val="false"/>
          <w:sz w:val="20"/>
        </w:rPr>
        <w:t xml:space="preserve"> Yet Adopted Accounting Standards</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Financial Accounting Standards Board ("FASB") issued Accounting Standards Update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“Income Statement—Reporting Comprehensive Income—Expense Disaggregation Disclosures”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to expand expense disclosures by requiring disaggregated disclosure of certain income statement expense line items, including those that contain purchases of inventory, employee compensation, depreciation, and amortization.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or the Company’s fiscal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and subsequent interim periods, with early adoption permitted. The amendments should be applied prospectively, but retrospective application is permitted. The company is currently assessing the impact of the requirements on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Recently Adopted Accounting Standards</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the FASB issued guidance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"Segment Reporting (Topic </w:t>
      </w:r>
      <w:r>
        <w:rPr>
          <w:rStyle w:val="Emphasis"/>
          <w:rFonts w:ascii="Times New Roman" w:hAnsi="Times New Roman"/>
          <w:caps w:val="false"/>
          <w:smallCaps w:val="false"/>
          <w:sz w:val="20"/>
        </w:rPr>
        <w:t>280</w:t>
      </w:r>
      <w:r>
        <w:rPr>
          <w:rFonts w:ascii="Times New Roman" w:hAnsi="Times New Roman"/>
          <w:caps w:val="false"/>
          <w:smallCaps w:val="false"/>
          <w:sz w:val="20"/>
        </w:rPr>
        <w:t xml:space="preserve">): Improvements to Reportable Segment Disclosures," which is intended to improve reportable segment disclosures,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Company adopted the new annual disclosures as required for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adopted the interim disclosures as required beginning with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FASB issued guidance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Improvements to Income Tax Disclosures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which includes requirements that an entity disclose specific categories in the rate reconciliation and provide additional information for reconciling items that are greater than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percent of the amount computed by multiplying pretax income (or loss) by the applicable statutory income rate. The standard also requires that entities disclose income (or loss) from continuing operations before income tax expense (or benefit) and income tax expense (or benefit) disaggregated between domestic and foreign.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is effective for annual periods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 xml:space="preserve">The Company has adopted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on a prospective basis for its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annual report filed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which will result in additional disclosures related to income tax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impact the Company’s results of operations or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Special Note Regarding Smaller Reporting Company Status</w:t>
      </w:r>
      <w:r>
        <w:rPr>
          <w:rFonts w:ascii="Times New Roman" w:hAnsi="Times New Roman"/>
          <w:caps w:val="false"/>
          <w:smallCaps w:val="false"/>
          <w:sz w:val="20"/>
        </w:rPr>
        <w:t xml:space="preserve">-- Under SEC Release </w:t>
      </w:r>
      <w:r>
        <w:rPr>
          <w:rStyle w:val="Emphasis"/>
          <w:rFonts w:ascii="Times New Roman" w:hAnsi="Times New Roman"/>
          <w:caps w:val="false"/>
          <w:smallCaps w:val="false"/>
          <w:sz w:val="20"/>
        </w:rPr>
        <w:t>33</w:t>
      </w:r>
      <w:r>
        <w:rPr>
          <w:rFonts w:ascii="Times New Roman" w:hAnsi="Times New Roman"/>
          <w:caps w:val="false"/>
          <w:smallCaps w:val="false"/>
          <w:sz w:val="20"/>
        </w:rPr>
        <w:t>-</w:t>
      </w:r>
      <w:r>
        <w:rPr>
          <w:rStyle w:val="Emphasis"/>
          <w:rFonts w:ascii="Times New Roman" w:hAnsi="Times New Roman"/>
          <w:caps w:val="false"/>
          <w:smallCaps w:val="false"/>
          <w:sz w:val="20"/>
        </w:rPr>
        <w:t>10513;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34</w:t>
      </w:r>
      <w:r>
        <w:rPr>
          <w:rFonts w:ascii="Times New Roman" w:hAnsi="Times New Roman"/>
          <w:caps w:val="false"/>
          <w:smallCaps w:val="false"/>
          <w:sz w:val="20"/>
        </w:rPr>
        <w:t>-</w:t>
      </w:r>
      <w:r>
        <w:rPr>
          <w:rStyle w:val="Emphasis"/>
          <w:rFonts w:ascii="Times New Roman" w:hAnsi="Times New Roman"/>
          <w:caps w:val="false"/>
          <w:smallCaps w:val="false"/>
          <w:sz w:val="20"/>
        </w:rPr>
        <w:t>83550,</w:t>
      </w:r>
      <w:r>
        <w:rPr>
          <w:rFonts w:ascii="Times New Roman" w:hAnsi="Times New Roman"/>
          <w:caps w:val="false"/>
          <w:smallCaps w:val="false"/>
          <w:sz w:val="20"/>
        </w:rPr>
        <w:t xml:space="preserve"> Amendments to Smaller Reporting Company Definition, the Company qualifies as a smaller reporting company based on its public float as of the last business day of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Accordingly, it has scaled some of its disclosures of financial and non-financial information in this annual report. The Company will continue to determine whether to provide additional scaled disclosures of financial or non-financial information in future quarterly reports, annual reports and/or proxy statements if it remains a smaller reporting company under SEC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 INVENTORIES,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major classes of inventories at </w:t>
      </w:r>
      <w:r>
        <w:rPr>
          <w:rStyle w:val="Emphasis"/>
          <w:rFonts w:ascii="Times New Roman" w:hAnsi="Times New Roman"/>
          <w:caps w:val="false"/>
          <w:smallCaps w:val="false"/>
          <w:sz w:val="20"/>
        </w:rPr>
        <w:t xml:space="preserve">June 30 </w:t>
      </w:r>
      <w:r>
        <w:rPr>
          <w:rFonts w:ascii="Times New Roman" w:hAnsi="Times New Roman"/>
          <w:caps w:val="false"/>
          <w:smallCaps w:val="false"/>
          <w:sz w:val="20"/>
        </w:rPr>
        <w:t>were as follows:</w:t>
      </w:r>
    </w:p>
    <w:p>
      <w:pPr>
        <w:pStyle w:val="TextBody"/>
        <w:bidi w:val="0"/>
        <w:spacing w:before="0" w:after="0"/>
        <w:ind w:left="0" w:right="0" w:hanging="0"/>
        <w:jc w:val="left"/>
        <w:rPr>
          <w:caps w:val="false"/>
          <w:smallCaps w:val="false"/>
        </w:rPr>
      </w:pPr>
      <w:r>
        <w:rPr>
          <w:caps w:val="false"/>
          <w:smallCaps w:val="false"/>
        </w:rPr>
        <w:t> </w:t>
      </w:r>
    </w:p>
    <w:tbl>
      <w:tblPr>
        <w:tblW w:w="3394" w:type="dxa"/>
        <w:jc w:val="left"/>
        <w:tblInd w:w="0" w:type="dxa"/>
        <w:tblLayout w:type="fixed"/>
        <w:tblCellMar>
          <w:top w:w="0" w:type="dxa"/>
          <w:left w:w="0" w:type="dxa"/>
          <w:bottom w:w="0" w:type="dxa"/>
          <w:right w:w="0" w:type="dxa"/>
        </w:tblCellMar>
      </w:tblPr>
      <w:tblGrid>
        <w:gridCol w:w="1325"/>
        <w:gridCol w:w="60"/>
        <w:gridCol w:w="125"/>
        <w:gridCol w:w="695"/>
        <w:gridCol w:w="60"/>
        <w:gridCol w:w="60"/>
        <w:gridCol w:w="153"/>
        <w:gridCol w:w="856"/>
        <w:gridCol w:w="60"/>
      </w:tblGrid>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As Adjusted</w:t>
            </w:r>
          </w:p>
        </w:tc>
        <w:tc>
          <w:tcPr>
            <w:tcW w:w="6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parts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99,171</w:t>
            </w:r>
          </w:p>
        </w:tc>
        <w:tc>
          <w:tcPr>
            <w:tcW w:w="60"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27,229</w:t>
            </w:r>
          </w:p>
        </w:tc>
        <w:tc>
          <w:tcPr>
            <w:tcW w:w="60"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57,685</w:t>
            </w:r>
          </w:p>
        </w:tc>
        <w:tc>
          <w:tcPr>
            <w:tcW w:w="60"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184,085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fiscal year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includes the impact of a non-cash inventory write-down of $1,579. This write-down reflects the results of a product rationalization exercise of the Company’s industrial product line following the acquisition of Katsa.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had reserves for inventory obsolescence of $16,190 and $16,016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Inventories are valued at the lower of cost or net realizable value, which includes an estimate for excess and obsolete inventory. Cost is determined by the first</w:t>
        <w:noBreakHyphen/>
        <w:t>in, first</w:t>
        <w:noBreakHyphen/>
        <w:t>out (FIFO) basis or average cost methods. Management specifically identifies obsolete products and analyzes historical usage, forecasted production based on future orders, demand forecasts, and economic trends, among others, when evaluating the adequacy of the reserve for excess and obsolete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 changed its methodology for valuing the majority of inventories located in the United States to the FIFO cost method from the last-in, </w:t>
      </w:r>
      <w:r>
        <w:rPr>
          <w:rStyle w:val="Emphasis"/>
          <w:rFonts w:ascii="Times New Roman" w:hAnsi="Times New Roman"/>
          <w:caps w:val="false"/>
          <w:smallCaps w:val="false"/>
          <w:sz w:val="20"/>
        </w:rPr>
        <w:t>first</w:t>
      </w:r>
      <w:r>
        <w:rPr>
          <w:rFonts w:ascii="Times New Roman" w:hAnsi="Times New Roman"/>
          <w:caps w:val="false"/>
          <w:smallCaps w:val="false"/>
          <w:sz w:val="20"/>
        </w:rPr>
        <w:t>-out (“LIFO”) cost method. The Company concluded that the FIFO basis of accounting is preferable as it provides a better matching of costs and revenues, more closely resembles the physical flow of inventory, better reflects the acquisition cost of inventory on the balance sheet, and results in improved comparability with industry peers.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effects of this change in accounting method have been retrospectively applied to all periods presented and a cumulative effect adjustment was recorded to increase the </w:t>
      </w:r>
      <w:r>
        <w:rPr>
          <w:rStyle w:val="Emphasis"/>
          <w:rFonts w:ascii="Times New Roman" w:hAnsi="Times New Roman"/>
          <w:caps w:val="false"/>
          <w:smallCaps w:val="false"/>
          <w:sz w:val="20"/>
        </w:rPr>
        <w:t xml:space="preserve">July 1, 2024 </w:t>
      </w:r>
      <w:r>
        <w:rPr>
          <w:rFonts w:ascii="Times New Roman" w:hAnsi="Times New Roman"/>
          <w:caps w:val="false"/>
          <w:smallCaps w:val="false"/>
          <w:sz w:val="20"/>
        </w:rPr>
        <w:t xml:space="preserve">inventory and retained earnings by $30,937, net of tax. The Consolidated Statements of Operations and Comprehensive Income (Loss) for the years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Consolidated Statements of Cash Flows for the years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the Consolidated Balance Sheets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have been retrospectively adjusted to reflect the change in accounting principle. See Note S,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Impact of Accounting Method Change, of the notes to the consolidated financial statements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The following tables reflect the effect of the change in accounting method on the consolidated financial statements as of and for the year ended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49"/>
        <w:gridCol w:w="60"/>
        <w:gridCol w:w="182"/>
        <w:gridCol w:w="1020"/>
        <w:gridCol w:w="60"/>
        <w:gridCol w:w="60"/>
        <w:gridCol w:w="182"/>
        <w:gridCol w:w="798"/>
        <w:gridCol w:w="80"/>
        <w:gridCol w:w="60"/>
        <w:gridCol w:w="151"/>
        <w:gridCol w:w="841"/>
        <w:gridCol w:w="62"/>
      </w:tblGrid>
      <w:tr>
        <w:trPr/>
        <w:tc>
          <w:tcPr>
            <w:tcW w:w="6649"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Consolidated Statements of Operations and Comprehensive Income (Loss)</w:t>
            </w:r>
          </w:p>
        </w:tc>
        <w:tc>
          <w:tcPr>
            <w:tcW w:w="60" w:type="dxa"/>
            <w:tcBorders/>
            <w:vAlign w:val="center"/>
          </w:tcPr>
          <w:p>
            <w:pPr>
              <w:pStyle w:val="TableContents"/>
              <w:bidi w:val="0"/>
              <w:spacing w:before="0" w:after="283"/>
              <w:ind w:left="0" w:right="0" w:hanging="0"/>
              <w:jc w:val="left"/>
              <w:rPr/>
            </w:pPr>
            <w:r>
              <w:rPr/>
              <w:t> </w:t>
            </w:r>
          </w:p>
        </w:tc>
        <w:tc>
          <w:tcPr>
            <w:tcW w:w="120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As Computed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Under Previous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Method</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pPr>
            <w:r>
              <w:rPr/>
              <w:t> </w:t>
            </w:r>
          </w:p>
        </w:tc>
        <w:tc>
          <w:tcPr>
            <w:tcW w:w="980"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Accounting</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Change</w:t>
            </w:r>
          </w:p>
        </w:tc>
        <w:tc>
          <w:tcPr>
            <w:tcW w:w="8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pPr>
            <w:r>
              <w:rPr/>
              <w:t> </w:t>
            </w:r>
          </w:p>
        </w:tc>
        <w:tc>
          <w:tcPr>
            <w:tcW w:w="99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As Reported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Under New</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Method</w:t>
            </w:r>
          </w:p>
        </w:tc>
        <w:tc>
          <w:tcPr>
            <w:tcW w:w="62" w:type="dxa"/>
            <w:tcBorders/>
            <w:vAlign w:val="center"/>
          </w:tcPr>
          <w:p>
            <w:pPr>
              <w:pStyle w:val="TableContents"/>
              <w:bidi w:val="0"/>
              <w:spacing w:before="0" w:after="283"/>
              <w:jc w:val="left"/>
              <w:rPr/>
            </w:pPr>
            <w:r>
              <w:rPr/>
              <w:t> </w:t>
            </w:r>
          </w:p>
        </w:tc>
      </w:tr>
      <w:tr>
        <w:trPr/>
        <w:tc>
          <w:tcPr>
            <w:tcW w:w="6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278,710</w:t>
            </w:r>
          </w:p>
        </w:tc>
        <w:tc>
          <w:tcPr>
            <w:tcW w:w="62" w:type="dxa"/>
            <w:tcBorders/>
            <w:shd w:fill="CCEEFF" w:val="clear"/>
            <w:vAlign w:val="center"/>
          </w:tcPr>
          <w:p>
            <w:pPr>
              <w:pStyle w:val="TableContents"/>
              <w:bidi w:val="0"/>
              <w:spacing w:before="0" w:after="283"/>
              <w:jc w:val="left"/>
              <w:rPr/>
            </w:pPr>
            <w:r>
              <w:rPr/>
              <w:t> </w:t>
            </w:r>
          </w:p>
        </w:tc>
      </w:tr>
      <w:tr>
        <w:trPr/>
        <w:tc>
          <w:tcPr>
            <w:tcW w:w="6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102,560</w:t>
            </w:r>
          </w:p>
        </w:tc>
        <w:tc>
          <w:tcPr>
            <w:tcW w:w="62" w:type="dxa"/>
            <w:tcBorders/>
            <w:shd w:fill="FFFFFF" w:val="clear"/>
            <w:vAlign w:val="center"/>
          </w:tcPr>
          <w:p>
            <w:pPr>
              <w:pStyle w:val="TableContents"/>
              <w:bidi w:val="0"/>
              <w:spacing w:before="0" w:after="283"/>
              <w:jc w:val="left"/>
              <w:rPr/>
            </w:pPr>
            <w:r>
              <w:rPr/>
              <w:t> </w:t>
            </w:r>
          </w:p>
        </w:tc>
      </w:tr>
      <w:tr>
        <w:trPr/>
        <w:tc>
          <w:tcPr>
            <w:tcW w:w="6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17,960</w:t>
            </w:r>
          </w:p>
        </w:tc>
        <w:tc>
          <w:tcPr>
            <w:tcW w:w="62" w:type="dxa"/>
            <w:tcBorders/>
            <w:shd w:fill="CCEEFF" w:val="clear"/>
            <w:vAlign w:val="center"/>
          </w:tcPr>
          <w:p>
            <w:pPr>
              <w:pStyle w:val="TableContents"/>
              <w:bidi w:val="0"/>
              <w:spacing w:before="0" w:after="283"/>
              <w:jc w:val="left"/>
              <w:rPr/>
            </w:pPr>
            <w:r>
              <w:rPr/>
              <w:t> </w:t>
            </w:r>
          </w:p>
        </w:tc>
      </w:tr>
      <w:tr>
        <w:trPr/>
        <w:tc>
          <w:tcPr>
            <w:tcW w:w="6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income taxes and noncontrolling interest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13,596</w:t>
            </w:r>
          </w:p>
        </w:tc>
        <w:tc>
          <w:tcPr>
            <w:tcW w:w="62" w:type="dxa"/>
            <w:tcBorders/>
            <w:shd w:fill="FFFFFF" w:val="clear"/>
            <w:vAlign w:val="center"/>
          </w:tcPr>
          <w:p>
            <w:pPr>
              <w:pStyle w:val="TableContents"/>
              <w:bidi w:val="0"/>
              <w:spacing w:before="0" w:after="283"/>
              <w:jc w:val="left"/>
              <w:rPr/>
            </w:pPr>
            <w:r>
              <w:rPr/>
              <w:t> </w:t>
            </w:r>
          </w:p>
        </w:tc>
      </w:tr>
      <w:tr>
        <w:trPr/>
        <w:tc>
          <w:tcPr>
            <w:tcW w:w="6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(expense)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13,974</w:t>
            </w:r>
          </w:p>
        </w:tc>
        <w:tc>
          <w:tcPr>
            <w:tcW w:w="62" w:type="dxa"/>
            <w:tcBorders/>
            <w:shd w:fill="CCEEFF" w:val="clear"/>
            <w:vAlign w:val="center"/>
          </w:tcPr>
          <w:p>
            <w:pPr>
              <w:pStyle w:val="TableContents"/>
              <w:bidi w:val="0"/>
              <w:spacing w:before="0" w:after="283"/>
              <w:jc w:val="left"/>
              <w:rPr/>
            </w:pPr>
            <w:r>
              <w:rPr/>
              <w:t> </w:t>
            </w:r>
          </w:p>
        </w:tc>
      </w:tr>
      <w:tr>
        <w:trPr/>
        <w:tc>
          <w:tcPr>
            <w:tcW w:w="6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27,570</w:t>
            </w:r>
          </w:p>
        </w:tc>
        <w:tc>
          <w:tcPr>
            <w:tcW w:w="62" w:type="dxa"/>
            <w:tcBorders/>
            <w:shd w:fill="FFFFFF" w:val="clear"/>
            <w:vAlign w:val="center"/>
          </w:tcPr>
          <w:p>
            <w:pPr>
              <w:pStyle w:val="TableContents"/>
              <w:bidi w:val="0"/>
              <w:spacing w:before="0" w:after="283"/>
              <w:jc w:val="left"/>
              <w:rPr/>
            </w:pPr>
            <w:r>
              <w:rPr/>
              <w:t> </w:t>
            </w:r>
          </w:p>
        </w:tc>
      </w:tr>
      <w:tr>
        <w:trPr/>
        <w:tc>
          <w:tcPr>
            <w:tcW w:w="6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Twin Disc, Incorporated</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27,077</w:t>
            </w:r>
          </w:p>
        </w:tc>
        <w:tc>
          <w:tcPr>
            <w:tcW w:w="62" w:type="dxa"/>
            <w:tcBorders/>
            <w:shd w:fill="CCEEFF" w:val="clear"/>
            <w:vAlign w:val="center"/>
          </w:tcPr>
          <w:p>
            <w:pPr>
              <w:pStyle w:val="TableContents"/>
              <w:bidi w:val="0"/>
              <w:spacing w:before="0" w:after="283"/>
              <w:jc w:val="left"/>
              <w:rPr/>
            </w:pPr>
            <w:r>
              <w:rPr/>
              <w:t> </w:t>
            </w:r>
          </w:p>
        </w:tc>
      </w:tr>
      <w:tr>
        <w:trPr/>
        <w:tc>
          <w:tcPr>
            <w:tcW w:w="66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r>
      <w:tr>
        <w:trPr/>
        <w:tc>
          <w:tcPr>
            <w:tcW w:w="6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r>
      <w:tr>
        <w:trPr/>
        <w:tc>
          <w:tcPr>
            <w:tcW w:w="6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27,570</w:t>
            </w:r>
          </w:p>
        </w:tc>
        <w:tc>
          <w:tcPr>
            <w:tcW w:w="62" w:type="dxa"/>
            <w:tcBorders/>
            <w:shd w:fill="FFFFFF" w:val="clear"/>
            <w:vAlign w:val="center"/>
          </w:tcPr>
          <w:p>
            <w:pPr>
              <w:pStyle w:val="TableContents"/>
              <w:bidi w:val="0"/>
              <w:spacing w:before="0" w:after="283"/>
              <w:jc w:val="left"/>
              <w:rPr/>
            </w:pPr>
            <w:r>
              <w:rPr/>
              <w:t> </w:t>
            </w:r>
          </w:p>
        </w:tc>
      </w:tr>
      <w:tr>
        <w:trPr/>
        <w:tc>
          <w:tcPr>
            <w:tcW w:w="6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23,994</w:t>
            </w:r>
          </w:p>
        </w:tc>
        <w:tc>
          <w:tcPr>
            <w:tcW w:w="62" w:type="dxa"/>
            <w:tcBorders/>
            <w:shd w:fill="CCEEFF" w:val="clear"/>
            <w:vAlign w:val="center"/>
          </w:tcPr>
          <w:p>
            <w:pPr>
              <w:pStyle w:val="TableContents"/>
              <w:bidi w:val="0"/>
              <w:spacing w:before="0" w:after="283"/>
              <w:jc w:val="left"/>
              <w:rPr/>
            </w:pPr>
            <w:r>
              <w:rPr/>
              <w:t> </w:t>
            </w:r>
          </w:p>
        </w:tc>
      </w:tr>
      <w:tr>
        <w:trPr/>
        <w:tc>
          <w:tcPr>
            <w:tcW w:w="664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 attributable to Twin Disc, Incorporated</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23,635</w:t>
            </w:r>
          </w:p>
        </w:tc>
        <w:tc>
          <w:tcPr>
            <w:tcW w:w="62" w:type="dxa"/>
            <w:tcBorders/>
            <w:shd w:fill="FFFFFF" w:val="clear"/>
            <w:vAlign w:val="center"/>
          </w:tcPr>
          <w:p>
            <w:pPr>
              <w:pStyle w:val="TableContents"/>
              <w:bidi w:val="0"/>
              <w:spacing w:before="0" w:after="283"/>
              <w:jc w:val="left"/>
              <w:rPr/>
            </w:pPr>
            <w:r>
              <w:rPr/>
              <w:t> </w:t>
            </w:r>
          </w:p>
        </w:tc>
      </w:tr>
      <w:tr>
        <w:trPr/>
        <w:tc>
          <w:tcPr>
            <w:tcW w:w="66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r>
      <w:tr>
        <w:trPr/>
        <w:tc>
          <w:tcPr>
            <w:tcW w:w="6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(loss) per share data:</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r>
      <w:tr>
        <w:trPr/>
        <w:tc>
          <w:tcPr>
            <w:tcW w:w="6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(loss) per share attributable to Twin Disc, Incorporated common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62" w:type="dxa"/>
            <w:tcBorders/>
            <w:shd w:fill="CCEEFF" w:val="clear"/>
            <w:vAlign w:val="center"/>
          </w:tcPr>
          <w:p>
            <w:pPr>
              <w:pStyle w:val="TableContents"/>
              <w:bidi w:val="0"/>
              <w:spacing w:before="0" w:after="283"/>
              <w:jc w:val="left"/>
              <w:rPr/>
            </w:pPr>
            <w:r>
              <w:rPr/>
              <w:t> </w:t>
            </w:r>
          </w:p>
        </w:tc>
      </w:tr>
      <w:tr>
        <w:trPr/>
        <w:tc>
          <w:tcPr>
            <w:tcW w:w="6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(loss) per share attributable to Twin Disc, Incorporated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62" w:type="dxa"/>
            <w:tcBorders/>
            <w:shd w:fill="FFFFFF" w:val="clear"/>
            <w:vAlign w:val="center"/>
          </w:tcPr>
          <w:p>
            <w:pPr>
              <w:pStyle w:val="TableContents"/>
              <w:bidi w:val="0"/>
              <w:spacing w:before="0" w:after="283"/>
              <w:jc w:val="left"/>
              <w:rPr/>
            </w:pPr>
            <w:r>
              <w:rPr/>
              <w:t> </w:t>
            </w:r>
          </w:p>
        </w:tc>
      </w:tr>
      <w:tr>
        <w:trPr/>
        <w:tc>
          <w:tcPr>
            <w:tcW w:w="66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r>
      <w:tr>
        <w:trPr/>
        <w:tc>
          <w:tcPr>
            <w:tcW w:w="6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data:</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r>
      <w:tr>
        <w:trPr/>
        <w:tc>
          <w:tcPr>
            <w:tcW w:w="6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shares outstanding</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14,119</w:t>
            </w:r>
          </w:p>
        </w:tc>
        <w:tc>
          <w:tcPr>
            <w:tcW w:w="62" w:type="dxa"/>
            <w:tcBorders/>
            <w:shd w:fill="CCEEFF" w:val="clear"/>
            <w:vAlign w:val="center"/>
          </w:tcPr>
          <w:p>
            <w:pPr>
              <w:pStyle w:val="TableContents"/>
              <w:bidi w:val="0"/>
              <w:spacing w:before="0" w:after="283"/>
              <w:jc w:val="left"/>
              <w:rPr/>
            </w:pPr>
            <w:r>
              <w:rPr/>
              <w:t> </w:t>
            </w:r>
          </w:p>
        </w:tc>
      </w:tr>
      <w:tr>
        <w:trPr/>
        <w:tc>
          <w:tcPr>
            <w:tcW w:w="6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shares outstanding</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14,586</w:t>
            </w:r>
          </w:p>
        </w:tc>
        <w:tc>
          <w:tcPr>
            <w:tcW w:w="6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083" w:type="dxa"/>
        <w:jc w:val="left"/>
        <w:tblInd w:w="0" w:type="dxa"/>
        <w:tblLayout w:type="fixed"/>
        <w:tblCellMar>
          <w:top w:w="0" w:type="dxa"/>
          <w:left w:w="0" w:type="dxa"/>
          <w:bottom w:w="0" w:type="dxa"/>
          <w:right w:w="0" w:type="dxa"/>
        </w:tblCellMar>
      </w:tblPr>
      <w:tblGrid>
        <w:gridCol w:w="2435"/>
        <w:gridCol w:w="60"/>
        <w:gridCol w:w="192"/>
        <w:gridCol w:w="1072"/>
        <w:gridCol w:w="60"/>
        <w:gridCol w:w="60"/>
        <w:gridCol w:w="171"/>
        <w:gridCol w:w="809"/>
        <w:gridCol w:w="80"/>
        <w:gridCol w:w="60"/>
        <w:gridCol w:w="156"/>
        <w:gridCol w:w="868"/>
        <w:gridCol w:w="60"/>
      </w:tblGrid>
      <w:tr>
        <w:trPr/>
        <w:tc>
          <w:tcPr>
            <w:tcW w:w="24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Consolidated Balance Sheets</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As Computed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Under Previous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Method</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pPr>
            <w:r>
              <w:rPr/>
              <w:t> </w:t>
            </w:r>
          </w:p>
        </w:tc>
        <w:tc>
          <w:tcPr>
            <w:tcW w:w="980"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Accounting</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Change</w:t>
            </w:r>
          </w:p>
        </w:tc>
        <w:tc>
          <w:tcPr>
            <w:tcW w:w="8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pPr>
            <w:r>
              <w:rPr/>
              <w:t> </w:t>
            </w:r>
          </w:p>
        </w:tc>
        <w:tc>
          <w:tcPr>
            <w:tcW w:w="1024"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As Reported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Under New</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Method</w:t>
            </w:r>
          </w:p>
        </w:tc>
        <w:tc>
          <w:tcPr>
            <w:tcW w:w="6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178,028</w:t>
            </w:r>
          </w:p>
        </w:tc>
        <w:tc>
          <w:tcPr>
            <w:tcW w:w="60"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assets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21,093</w:t>
            </w:r>
          </w:p>
        </w:tc>
        <w:tc>
          <w:tcPr>
            <w:tcW w:w="60"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182,340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17"/>
        <w:gridCol w:w="60"/>
        <w:gridCol w:w="193"/>
        <w:gridCol w:w="1009"/>
        <w:gridCol w:w="80"/>
        <w:gridCol w:w="60"/>
        <w:gridCol w:w="182"/>
        <w:gridCol w:w="798"/>
        <w:gridCol w:w="80"/>
        <w:gridCol w:w="60"/>
        <w:gridCol w:w="158"/>
        <w:gridCol w:w="826"/>
        <w:gridCol w:w="82"/>
      </w:tblGrid>
      <w:tr>
        <w:trPr/>
        <w:tc>
          <w:tcPr>
            <w:tcW w:w="6617"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Consolidated Statements of Cash Flows</w:t>
            </w:r>
          </w:p>
        </w:tc>
        <w:tc>
          <w:tcPr>
            <w:tcW w:w="60" w:type="dxa"/>
            <w:tcBorders/>
            <w:vAlign w:val="center"/>
          </w:tcPr>
          <w:p>
            <w:pPr>
              <w:pStyle w:val="TableContents"/>
              <w:bidi w:val="0"/>
              <w:spacing w:before="0" w:after="283"/>
              <w:ind w:left="0" w:right="0" w:hanging="0"/>
              <w:jc w:val="left"/>
              <w:rPr/>
            </w:pPr>
            <w:r>
              <w:rPr/>
              <w:t> </w:t>
            </w:r>
          </w:p>
        </w:tc>
        <w:tc>
          <w:tcPr>
            <w:tcW w:w="120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As Computed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Under Previous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Method</w:t>
            </w:r>
          </w:p>
        </w:tc>
        <w:tc>
          <w:tcPr>
            <w:tcW w:w="8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pPr>
            <w:r>
              <w:rPr/>
              <w:t> </w:t>
            </w:r>
          </w:p>
        </w:tc>
        <w:tc>
          <w:tcPr>
            <w:tcW w:w="980"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Accounting</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Change</w:t>
            </w:r>
          </w:p>
        </w:tc>
        <w:tc>
          <w:tcPr>
            <w:tcW w:w="8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pPr>
            <w:r>
              <w:rPr/>
              <w:t> </w:t>
            </w:r>
          </w:p>
        </w:tc>
        <w:tc>
          <w:tcPr>
            <w:tcW w:w="984"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As Reported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Under New</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Method</w:t>
            </w:r>
          </w:p>
        </w:tc>
        <w:tc>
          <w:tcPr>
            <w:tcW w:w="82" w:type="dxa"/>
            <w:tcBorders/>
            <w:vAlign w:val="center"/>
          </w:tcPr>
          <w:p>
            <w:pPr>
              <w:pStyle w:val="TableContents"/>
              <w:bidi w:val="0"/>
              <w:spacing w:before="0" w:after="283"/>
              <w:jc w:val="left"/>
              <w:rPr/>
            </w:pPr>
            <w:r>
              <w:rPr/>
              <w:t> </w:t>
            </w:r>
          </w:p>
        </w:tc>
      </w:tr>
      <w:tr>
        <w:trPr/>
        <w:tc>
          <w:tcPr>
            <w:tcW w:w="66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6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9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27,570</w:t>
            </w:r>
          </w:p>
        </w:tc>
        <w:tc>
          <w:tcPr>
            <w:tcW w:w="82" w:type="dxa"/>
            <w:tcBorders/>
            <w:shd w:fill="FFFFFF" w:val="clear"/>
            <w:vAlign w:val="center"/>
          </w:tcPr>
          <w:p>
            <w:pPr>
              <w:pStyle w:val="TableContents"/>
              <w:bidi w:val="0"/>
              <w:spacing w:before="0" w:after="283"/>
              <w:jc w:val="left"/>
              <w:rPr/>
            </w:pPr>
            <w:r>
              <w:rPr/>
              <w:t> </w:t>
            </w:r>
          </w:p>
        </w:tc>
      </w:tr>
      <w:tr>
        <w:trPr/>
        <w:tc>
          <w:tcPr>
            <w:tcW w:w="66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(loss) to net cash provided (used) by operating activities: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6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 net of acquired business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661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3,291</w:t>
            </w:r>
          </w:p>
        </w:tc>
        <w:tc>
          <w:tcPr>
            <w:tcW w:w="82" w:type="dxa"/>
            <w:tcBorders/>
            <w:shd w:fill="CCEEFF" w:val="clear"/>
            <w:vAlign w:val="center"/>
          </w:tcPr>
          <w:p>
            <w:pPr>
              <w:pStyle w:val="TableContents"/>
              <w:bidi w:val="0"/>
              <w:spacing w:before="0" w:after="283"/>
              <w:jc w:val="left"/>
              <w:rPr/>
            </w:pPr>
            <w:r>
              <w:rPr/>
              <w:t> </w:t>
            </w:r>
          </w:p>
        </w:tc>
      </w:tr>
      <w:tr>
        <w:trPr/>
        <w:tc>
          <w:tcPr>
            <w:tcW w:w="661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deferred income taxes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(18,046</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(used) by operating activities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22,899</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8553" w:type="dxa"/>
        <w:jc w:val="left"/>
        <w:tblInd w:w="0" w:type="dxa"/>
        <w:tblLayout w:type="fixed"/>
        <w:tblCellMar>
          <w:top w:w="0" w:type="dxa"/>
          <w:left w:w="0" w:type="dxa"/>
          <w:bottom w:w="0" w:type="dxa"/>
          <w:right w:w="0" w:type="dxa"/>
        </w:tblCellMar>
      </w:tblPr>
      <w:tblGrid>
        <w:gridCol w:w="4865"/>
        <w:gridCol w:w="60"/>
        <w:gridCol w:w="192"/>
        <w:gridCol w:w="1072"/>
        <w:gridCol w:w="80"/>
        <w:gridCol w:w="60"/>
        <w:gridCol w:w="171"/>
        <w:gridCol w:w="809"/>
        <w:gridCol w:w="80"/>
        <w:gridCol w:w="60"/>
        <w:gridCol w:w="156"/>
        <w:gridCol w:w="868"/>
        <w:gridCol w:w="80"/>
      </w:tblGrid>
      <w:tr>
        <w:trPr/>
        <w:tc>
          <w:tcPr>
            <w:tcW w:w="48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Consolidated Statements of Changes in Equity</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As Computed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Under Previous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Method</w:t>
            </w:r>
          </w:p>
        </w:tc>
        <w:tc>
          <w:tcPr>
            <w:tcW w:w="8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pPr>
            <w:r>
              <w:rPr/>
              <w:t> </w:t>
            </w:r>
          </w:p>
        </w:tc>
        <w:tc>
          <w:tcPr>
            <w:tcW w:w="980"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Accounting</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Change</w:t>
            </w:r>
          </w:p>
        </w:tc>
        <w:tc>
          <w:tcPr>
            <w:tcW w:w="8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pPr>
            <w:r>
              <w:rPr/>
              <w:t> </w:t>
            </w:r>
          </w:p>
        </w:tc>
        <w:tc>
          <w:tcPr>
            <w:tcW w:w="1024"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As Reported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Under New</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Method</w:t>
            </w:r>
          </w:p>
        </w:tc>
        <w:tc>
          <w:tcPr>
            <w:tcW w:w="80"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157,548</w:t>
            </w:r>
          </w:p>
        </w:tc>
        <w:tc>
          <w:tcPr>
            <w:tcW w:w="80"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Twin Disc, Incorporated</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27,077</w:t>
            </w:r>
          </w:p>
        </w:tc>
        <w:tc>
          <w:tcPr>
            <w:tcW w:w="80"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to shareholders and non-controlling interest</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2" w:space="0" w:color="000000"/>
            </w:tcBorders>
            <w:shd w:fill="FFFFFF" w:val="clear"/>
            <w:tcMar>
              <w:bottom w:w="28" w:type="dxa"/>
            </w:tcM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182,340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 PROPERTY, PLANT,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Property, plant, and equipment at </w:t>
      </w:r>
      <w:r>
        <w:rPr>
          <w:rStyle w:val="Emphasis"/>
          <w:rFonts w:ascii="Times New Roman" w:hAnsi="Times New Roman"/>
          <w:caps w:val="false"/>
          <w:smallCaps w:val="false"/>
          <w:sz w:val="20"/>
        </w:rPr>
        <w:t xml:space="preserve">June 30 </w:t>
      </w:r>
      <w:r>
        <w:rPr>
          <w:rFonts w:ascii="Times New Roman" w:hAnsi="Times New Roman"/>
          <w:caps w:val="false"/>
          <w:smallCaps w:val="false"/>
          <w:sz w:val="20"/>
        </w:rPr>
        <w:t>were as follows:</w:t>
      </w:r>
    </w:p>
    <w:p>
      <w:pPr>
        <w:pStyle w:val="TextBody"/>
        <w:bidi w:val="0"/>
        <w:spacing w:before="0" w:after="0"/>
        <w:ind w:left="0" w:right="0" w:hanging="0"/>
        <w:jc w:val="left"/>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2585"/>
        <w:gridCol w:w="60"/>
        <w:gridCol w:w="125"/>
        <w:gridCol w:w="755"/>
        <w:gridCol w:w="80"/>
        <w:gridCol w:w="60"/>
        <w:gridCol w:w="125"/>
        <w:gridCol w:w="755"/>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3,381</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47,438</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215,809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212,611</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266,768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263,430</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(198,674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69,576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Included in the above amounts are finance lease right-of-use assets of $4,960 and $5,794 for the years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Depreciation expense for the years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$10,538 and $10,042,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owned one permanently idle facility with a book value of $3.0 million. The asset is presented within property, plant, and equipment, net on the Consolidated Balance Sheets. No impairment losses were recorded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 GOODWILL AND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Goodwill represents the excess of the consideration transferred net of the acquisition-date fair values of the identifiable assets acquired and the liabilities assumed.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changes in the carrying amount of goodwill is summarized as follows:</w:t>
      </w:r>
    </w:p>
    <w:p>
      <w:pPr>
        <w:pStyle w:val="TextBody"/>
        <w:bidi w:val="0"/>
        <w:spacing w:before="0" w:after="0"/>
        <w:ind w:left="0" w:right="0" w:hanging="0"/>
        <w:jc w:val="left"/>
        <w:rPr>
          <w:caps w:val="false"/>
          <w:smallCaps w:val="false"/>
        </w:rPr>
      </w:pPr>
      <w:r>
        <w:rPr>
          <w:caps w:val="false"/>
          <w:smallCaps w:val="false"/>
        </w:rPr>
        <w:t> </w:t>
      </w:r>
    </w:p>
    <w:tbl>
      <w:tblPr>
        <w:tblW w:w="3195" w:type="dxa"/>
        <w:jc w:val="left"/>
        <w:tblInd w:w="0" w:type="dxa"/>
        <w:tblLayout w:type="fixed"/>
        <w:tblCellMar>
          <w:top w:w="0" w:type="dxa"/>
          <w:left w:w="0" w:type="dxa"/>
          <w:bottom w:w="0" w:type="dxa"/>
          <w:right w:w="0" w:type="dxa"/>
        </w:tblCellMar>
      </w:tblPr>
      <w:tblGrid>
        <w:gridCol w:w="2060"/>
        <w:gridCol w:w="60"/>
        <w:gridCol w:w="203"/>
        <w:gridCol w:w="792"/>
        <w:gridCol w:w="80"/>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Book</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Rollforward</w:t>
            </w:r>
          </w:p>
        </w:tc>
        <w:tc>
          <w:tcPr>
            <w:tcW w:w="80"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2,892</w:t>
            </w:r>
          </w:p>
        </w:tc>
        <w:tc>
          <w:tcPr>
            <w:tcW w:w="8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Translation adjustment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June 30, </w:t>
      </w:r>
      <w:r>
        <w:rPr>
          <w:rFonts w:ascii="Times New Roman" w:hAnsi="Times New Roman"/>
          <w:caps w:val="false"/>
          <w:smallCaps w:val="false"/>
          <w:sz w:val="20"/>
        </w:rPr>
        <w:t>the following acquired intangible assets have definite useful lives and are subject to amortization: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9"/>
        <w:gridCol w:w="60"/>
        <w:gridCol w:w="182"/>
        <w:gridCol w:w="858"/>
        <w:gridCol w:w="80"/>
        <w:gridCol w:w="60"/>
        <w:gridCol w:w="163"/>
        <w:gridCol w:w="859"/>
        <w:gridCol w:w="80"/>
        <w:gridCol w:w="60"/>
        <w:gridCol w:w="188"/>
        <w:gridCol w:w="884"/>
        <w:gridCol w:w="80"/>
        <w:gridCol w:w="60"/>
        <w:gridCol w:w="291"/>
        <w:gridCol w:w="1287"/>
        <w:gridCol w:w="88"/>
        <w:gridCol w:w="66"/>
        <w:gridCol w:w="158"/>
        <w:gridCol w:w="702"/>
        <w:gridCol w:w="88"/>
        <w:gridCol w:w="66"/>
        <w:gridCol w:w="122"/>
        <w:gridCol w:w="473"/>
        <w:gridCol w:w="80"/>
        <w:gridCol w:w="60"/>
        <w:gridCol w:w="110"/>
        <w:gridCol w:w="485"/>
        <w:gridCol w:w="80"/>
        <w:gridCol w:w="60"/>
        <w:gridCol w:w="110"/>
        <w:gridCol w:w="515"/>
        <w:gridCol w:w="101"/>
      </w:tblGrid>
      <w:tr>
        <w:trPr/>
        <w:tc>
          <w:tcPr>
            <w:tcW w:w="16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41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Net Book Value Rollforward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4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Net Book Value By Asset Type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tcMar>
              <w:bottom w:w="28" w:type="dxa"/>
            </w:tcMar>
            <w:vAlign w:val="center"/>
          </w:tcPr>
          <w:p>
            <w:pPr>
              <w:pStyle w:val="TableContents"/>
              <w:bidi w:val="0"/>
              <w:spacing w:before="0" w:after="283"/>
              <w:jc w:val="left"/>
              <w:rPr/>
            </w:pPr>
            <w:r>
              <w:rPr/>
              <w:t> </w:t>
            </w:r>
          </w:p>
        </w:tc>
        <w:tc>
          <w:tcPr>
            <w:tcW w:w="485" w:type="dxa"/>
            <w:tcBorders>
              <w:bottom w:val="single" w:sz="2" w:space="0" w:color="000000"/>
            </w:tcBorders>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tcMar>
              <w:bottom w:w="28" w:type="dxa"/>
            </w:tcMar>
            <w:vAlign w:val="center"/>
          </w:tcPr>
          <w:p>
            <w:pPr>
              <w:pStyle w:val="TableContents"/>
              <w:bidi w:val="0"/>
              <w:spacing w:before="0" w:after="283"/>
              <w:jc w:val="left"/>
              <w:rPr/>
            </w:pPr>
            <w:r>
              <w:rPr/>
              <w:t> </w:t>
            </w:r>
          </w:p>
        </w:tc>
        <w:tc>
          <w:tcPr>
            <w:tcW w:w="515" w:type="dxa"/>
            <w:tcBorders>
              <w:bottom w:val="single" w:sz="2" w:space="0" w:color="000000"/>
            </w:tcBorders>
            <w:tcMar>
              <w:bottom w:w="28" w:type="dxa"/>
            </w:tcMar>
            <w:vAlign w:val="center"/>
          </w:tcPr>
          <w:p>
            <w:pPr>
              <w:pStyle w:val="TableContents"/>
              <w:bidi w:val="0"/>
              <w:spacing w:before="0" w:after="283"/>
              <w:jc w:val="center"/>
              <w:rPr/>
            </w:pPr>
            <w:r>
              <w:rPr/>
              <w:t> </w:t>
            </w:r>
          </w:p>
        </w:tc>
        <w:tc>
          <w:tcPr>
            <w:tcW w:w="101" w:type="dxa"/>
            <w:tcBorders/>
            <w:vAlign w:val="center"/>
          </w:tcPr>
          <w:p>
            <w:pPr>
              <w:pStyle w:val="TableContents"/>
              <w:bidi w:val="0"/>
              <w:spacing w:before="0" w:after="283"/>
              <w:jc w:val="left"/>
              <w:rPr/>
            </w:pPr>
            <w:r>
              <w:rPr/>
              <w:t> </w:t>
            </w:r>
          </w:p>
        </w:tc>
      </w:tr>
      <w:tr>
        <w:trPr/>
        <w:tc>
          <w:tcPr>
            <w:tcW w:w="16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Gross Carrying</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Accumulated</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Amortization /</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Impairment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Net Book Value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Customer Relationships</w:t>
            </w:r>
          </w:p>
        </w:tc>
        <w:tc>
          <w:tcPr>
            <w:tcW w:w="88" w:type="dxa"/>
            <w:tcBorders>
              <w:bottom w:val="single" w:sz="2" w:space="0" w:color="000000"/>
            </w:tcBorders>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Technology</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Know-how</w:t>
            </w:r>
          </w:p>
        </w:tc>
        <w:tc>
          <w:tcPr>
            <w:tcW w:w="88" w:type="dxa"/>
            <w:tcBorders>
              <w:bottom w:val="single" w:sz="2" w:space="0" w:color="000000"/>
            </w:tcBorders>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Trade</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Names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101" w:type="dxa"/>
            <w:tcBorders/>
            <w:vAlign w:val="center"/>
          </w:tcPr>
          <w:p>
            <w:pPr>
              <w:pStyle w:val="TableContents"/>
              <w:bidi w:val="0"/>
              <w:spacing w:before="0" w:after="283"/>
              <w:jc w:val="left"/>
              <w:rPr/>
            </w:pPr>
            <w:r>
              <w:rPr/>
              <w:t> </w:t>
            </w:r>
          </w:p>
        </w:tc>
      </w:tr>
      <w:tr>
        <w:trPr/>
        <w:tc>
          <w:tcPr>
            <w:tcW w:w="1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June 30, 2024</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(23,741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12,686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28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6,720</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2,089</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12,686</w:t>
            </w:r>
          </w:p>
        </w:tc>
        <w:tc>
          <w:tcPr>
            <w:tcW w:w="101" w:type="dxa"/>
            <w:tcBorders/>
            <w:shd w:fill="CCEEFF" w:val="clear"/>
            <w:vAlign w:val="center"/>
          </w:tcPr>
          <w:p>
            <w:pPr>
              <w:pStyle w:val="TableContents"/>
              <w:bidi w:val="0"/>
              <w:spacing w:before="0" w:after="283"/>
              <w:jc w:val="left"/>
              <w:rPr/>
            </w:pPr>
            <w:r>
              <w:rPr/>
              <w:t> </w:t>
            </w:r>
          </w:p>
        </w:tc>
      </w:tr>
      <w:tr>
        <w:trPr/>
        <w:tc>
          <w:tcPr>
            <w:tcW w:w="1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Additions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hanging="0"/>
              <w:jc w:val="left"/>
              <w:rPr/>
            </w:pPr>
            <w:r>
              <w:rPr/>
              <w:t> </w:t>
            </w:r>
          </w:p>
        </w:tc>
        <w:tc>
          <w:tcPr>
            <w:tcW w:w="128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1,187</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0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908</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4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3,471</w:t>
            </w:r>
          </w:p>
        </w:tc>
        <w:tc>
          <w:tcPr>
            <w:tcW w:w="101" w:type="dxa"/>
            <w:tcBorders/>
            <w:shd w:fill="FFFFFF" w:val="clear"/>
            <w:vAlign w:val="center"/>
          </w:tcPr>
          <w:p>
            <w:pPr>
              <w:pStyle w:val="TableContents"/>
              <w:bidi w:val="0"/>
              <w:spacing w:before="0" w:after="283"/>
              <w:jc w:val="left"/>
              <w:rPr/>
            </w:pPr>
            <w:r>
              <w:rPr/>
              <w:t> </w:t>
            </w:r>
          </w:p>
        </w:tc>
      </w:tr>
      <w:tr>
        <w:trPr/>
        <w:tc>
          <w:tcPr>
            <w:tcW w:w="1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Amortization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(3,959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(3,959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128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(1,341</w:t>
            </w:r>
          </w:p>
        </w:tc>
        <w:tc>
          <w:tcPr>
            <w:tcW w:w="88"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0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(1,312</w:t>
            </w:r>
          </w:p>
        </w:tc>
        <w:tc>
          <w:tcPr>
            <w:tcW w:w="88"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4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(3,959</w:t>
            </w:r>
          </w:p>
        </w:tc>
        <w:tc>
          <w:tcPr>
            <w:tcW w:w="10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Translation adjustment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8"/>
              </w:rPr>
              <w:t>(2,342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629</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149</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1,163</w:t>
            </w:r>
          </w:p>
        </w:tc>
        <w:tc>
          <w:tcPr>
            <w:tcW w:w="101" w:type="dxa"/>
            <w:tcBorders/>
            <w:shd w:fill="FFFFFF" w:val="clear"/>
            <w:vAlign w:val="center"/>
          </w:tcPr>
          <w:p>
            <w:pPr>
              <w:pStyle w:val="TableContents"/>
              <w:bidi w:val="0"/>
              <w:spacing w:before="0" w:after="283"/>
              <w:jc w:val="left"/>
              <w:rPr/>
            </w:pPr>
            <w:r>
              <w:rPr/>
              <w:t> </w:t>
            </w:r>
          </w:p>
        </w:tc>
      </w:tr>
      <w:tr>
        <w:trPr/>
        <w:tc>
          <w:tcPr>
            <w:tcW w:w="1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June 30, 2025</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43,403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(30,042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13,361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128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7,195</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0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1,834</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4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13,361</w:t>
            </w:r>
          </w:p>
        </w:tc>
        <w:tc>
          <w:tcPr>
            <w:tcW w:w="101" w:type="dxa"/>
            <w:tcBorders/>
            <w:shd w:fill="CCEEFF" w:val="clear"/>
            <w:vAlign w:val="center"/>
          </w:tcPr>
          <w:p>
            <w:pPr>
              <w:pStyle w:val="TableContents"/>
              <w:bidi w:val="0"/>
              <w:spacing w:before="0" w:after="283"/>
              <w:jc w:val="left"/>
              <w:rPr/>
            </w:pPr>
            <w:r>
              <w:rPr/>
              <w:t> </w:t>
            </w:r>
          </w:p>
        </w:tc>
      </w:tr>
      <w:tr>
        <w:trPr/>
        <w:tc>
          <w:tcPr>
            <w:tcW w:w="1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Additions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hanging="0"/>
              <w:jc w:val="left"/>
              <w:rPr/>
            </w:pPr>
            <w:r>
              <w:rPr/>
              <w:t> </w:t>
            </w:r>
          </w:p>
        </w:tc>
        <w:tc>
          <w:tcPr>
            <w:tcW w:w="128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0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4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3,825</w:t>
            </w:r>
          </w:p>
        </w:tc>
        <w:tc>
          <w:tcPr>
            <w:tcW w:w="101" w:type="dxa"/>
            <w:tcBorders/>
            <w:shd w:fill="FFFFFF" w:val="clear"/>
            <w:vAlign w:val="center"/>
          </w:tcPr>
          <w:p>
            <w:pPr>
              <w:pStyle w:val="TableContents"/>
              <w:bidi w:val="0"/>
              <w:spacing w:before="0" w:after="283"/>
              <w:jc w:val="left"/>
              <w:rPr/>
            </w:pPr>
            <w:r>
              <w:rPr/>
              <w:t> </w:t>
            </w:r>
          </w:p>
        </w:tc>
      </w:tr>
      <w:tr>
        <w:trPr/>
        <w:tc>
          <w:tcPr>
            <w:tcW w:w="1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Amortization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(2,878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(2,878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128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(1,305</w:t>
            </w:r>
          </w:p>
        </w:tc>
        <w:tc>
          <w:tcPr>
            <w:tcW w:w="88"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0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(198</w:t>
            </w:r>
          </w:p>
        </w:tc>
        <w:tc>
          <w:tcPr>
            <w:tcW w:w="88"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4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(2,878</w:t>
            </w:r>
          </w:p>
        </w:tc>
        <w:tc>
          <w:tcPr>
            <w:tcW w:w="10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Translation adjustment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(159</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(187</w:t>
            </w:r>
          </w:p>
        </w:tc>
        <w:tc>
          <w:tcPr>
            <w:tcW w:w="101"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46,137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(32,016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14,121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2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5,731</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1,609</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1,691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5,090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14,121</w:t>
            </w:r>
          </w:p>
        </w:tc>
        <w:tc>
          <w:tcPr>
            <w:tcW w:w="10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intangibles consist mainly of computer software. Amortization is recorded on the basis of straight-line or accelerated, as appropriate, over the estimated useful lives of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weighted average remaining useful life of the intangible assets included in the table above is approximately 7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Intangible amortization expense for the years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$2,878 and $3,959, respectively. Estimated intangible amortization expense for each of the next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fiscal years is as follows:</w:t>
      </w:r>
    </w:p>
    <w:p>
      <w:pPr>
        <w:pStyle w:val="TextBody"/>
        <w:bidi w:val="0"/>
        <w:spacing w:before="0" w:after="0"/>
        <w:ind w:left="0" w:right="0" w:hanging="0"/>
        <w:jc w:val="left"/>
        <w:rPr>
          <w:caps w:val="false"/>
          <w:smallCaps w:val="false"/>
        </w:rPr>
      </w:pPr>
      <w:r>
        <w:rPr>
          <w:caps w:val="false"/>
          <w:smallCaps w:val="false"/>
        </w:rPr>
        <w:t> </w:t>
      </w:r>
    </w:p>
    <w:tbl>
      <w:tblPr>
        <w:tblW w:w="1755" w:type="dxa"/>
        <w:jc w:val="left"/>
        <w:tblInd w:w="0" w:type="dxa"/>
        <w:tblLayout w:type="fixed"/>
        <w:tblCellMar>
          <w:top w:w="0" w:type="dxa"/>
          <w:left w:w="0" w:type="dxa"/>
          <w:bottom w:w="0" w:type="dxa"/>
          <w:right w:w="0" w:type="dxa"/>
        </w:tblCellMar>
      </w:tblPr>
      <w:tblGrid>
        <w:gridCol w:w="920"/>
        <w:gridCol w:w="60"/>
        <w:gridCol w:w="125"/>
        <w:gridCol w:w="590"/>
        <w:gridCol w:w="60"/>
      </w:tblGrid>
      <w:tr>
        <w:trPr/>
        <w:tc>
          <w:tcPr>
            <w:tcW w:w="92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Fiscal Year</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2,807</w:t>
            </w:r>
          </w:p>
        </w:tc>
        <w:tc>
          <w:tcPr>
            <w:tcW w:w="60"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2,603</w:t>
            </w:r>
          </w:p>
        </w:tc>
        <w:tc>
          <w:tcPr>
            <w:tcW w:w="60"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2,272</w:t>
            </w:r>
          </w:p>
        </w:tc>
        <w:tc>
          <w:tcPr>
            <w:tcW w:w="60"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938</w:t>
            </w:r>
          </w:p>
        </w:tc>
        <w:tc>
          <w:tcPr>
            <w:tcW w:w="60"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p>
        </w:tc>
        <w:tc>
          <w:tcPr>
            <w:tcW w:w="60"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4,880</w:t>
            </w:r>
          </w:p>
        </w:tc>
        <w:tc>
          <w:tcPr>
            <w:tcW w:w="60"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 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Accrued liabilities at </w:t>
      </w:r>
      <w:r>
        <w:rPr>
          <w:rStyle w:val="Emphasis"/>
          <w:rFonts w:ascii="Times New Roman" w:hAnsi="Times New Roman"/>
          <w:caps w:val="false"/>
          <w:smallCaps w:val="false"/>
          <w:sz w:val="20"/>
        </w:rPr>
        <w:t xml:space="preserve">June 30 </w:t>
      </w:r>
      <w:r>
        <w:rPr>
          <w:rFonts w:ascii="Times New Roman" w:hAnsi="Times New Roman"/>
          <w:caps w:val="false"/>
          <w:smallCaps w:val="false"/>
          <w:sz w:val="20"/>
        </w:rPr>
        <w:t>were as follows:</w:t>
      </w:r>
    </w:p>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1610"/>
        <w:gridCol w:w="60"/>
        <w:gridCol w:w="125"/>
        <w:gridCol w:w="590"/>
        <w:gridCol w:w="60"/>
        <w:gridCol w:w="60"/>
        <w:gridCol w:w="125"/>
        <w:gridCol w:w="590"/>
        <w:gridCol w:w="60"/>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29,664</w:t>
            </w:r>
          </w:p>
        </w:tc>
        <w:tc>
          <w:tcPr>
            <w:tcW w:w="60"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13,538</w:t>
            </w:r>
          </w:p>
        </w:tc>
        <w:tc>
          <w:tcPr>
            <w:tcW w:w="60"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and wages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14,095</w:t>
            </w:r>
          </w:p>
        </w:tc>
        <w:tc>
          <w:tcPr>
            <w:tcW w:w="60"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4,174</w:t>
            </w:r>
          </w:p>
        </w:tc>
        <w:tc>
          <w:tcPr>
            <w:tcW w:w="60"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Distributor rebates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3,083</w:t>
            </w:r>
          </w:p>
        </w:tc>
        <w:tc>
          <w:tcPr>
            <w:tcW w:w="60"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Retirement benefits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1,664</w:t>
            </w:r>
          </w:p>
        </w:tc>
        <w:tc>
          <w:tcPr>
            <w:tcW w:w="60"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14,437</w:t>
            </w:r>
          </w:p>
        </w:tc>
        <w:tc>
          <w:tcPr>
            <w:tcW w:w="60"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80,655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warrants all assembled products, parts (except component products or parts on which written warranties are issued by the respective manufacturers thereof and are furnished to the original customer, as to which the Company makes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warranty and assumes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liability) and service against defective materials or workmanship. Such warranty generally extends from periods ranging from 12 months to 24 months. The Company engages in extensive product quality programs and processes, including actively monitoring and evaluating the quality of its suppliers. However, its warranty obligation is affected by product failure rates, the number of units affected by the failure and the expense involved in satisfactorily addressing the situation. The warranty reserve is established based on the Company’s best estimate of the amounts necessary to settle future and existing claims on products sold as of the balance sheet date. When evaluating the adequacy of the reserve for warranty costs, management takes into consideration the term of the warranty coverage, historical claim rates and costs of repair, knowledge of the type and volume of new products and economic trends. While the Company believes that the warranty reserve is adequate and that the judgment applied is appropriate, such amounts estimated to be due and payable in the future could differ materially from what actually transpires. The following is a listing of the activity in the warranty reserve during the years ended </w:t>
      </w:r>
      <w:r>
        <w:rPr>
          <w:rStyle w:val="Emphasis"/>
          <w:rFonts w:ascii="Times New Roman" w:hAnsi="Times New Roman"/>
          <w:caps w:val="false"/>
          <w:smallCaps w:val="false"/>
          <w:sz w:val="20"/>
        </w:rPr>
        <w:t>June 30:</w:t>
      </w:r>
    </w:p>
    <w:p>
      <w:pPr>
        <w:pStyle w:val="TextBody"/>
        <w:bidi w:val="0"/>
        <w:spacing w:before="0" w:after="0"/>
        <w:ind w:left="0" w:right="0" w:hanging="0"/>
        <w:jc w:val="left"/>
        <w:rPr>
          <w:caps w:val="false"/>
          <w:smallCaps w:val="false"/>
        </w:rPr>
      </w:pPr>
      <w:r>
        <w:rPr>
          <w:caps w:val="false"/>
          <w:smallCaps w:val="false"/>
        </w:rPr>
        <w:t> </w:t>
      </w:r>
    </w:p>
    <w:tbl>
      <w:tblPr>
        <w:tblW w:w="4925" w:type="dxa"/>
        <w:jc w:val="left"/>
        <w:tblInd w:w="0" w:type="dxa"/>
        <w:tblLayout w:type="fixed"/>
        <w:tblCellMar>
          <w:top w:w="0" w:type="dxa"/>
          <w:left w:w="0" w:type="dxa"/>
          <w:bottom w:w="0" w:type="dxa"/>
          <w:right w:w="0" w:type="dxa"/>
        </w:tblCellMar>
      </w:tblPr>
      <w:tblGrid>
        <w:gridCol w:w="3290"/>
        <w:gridCol w:w="60"/>
        <w:gridCol w:w="125"/>
        <w:gridCol w:w="545"/>
        <w:gridCol w:w="80"/>
        <w:gridCol w:w="60"/>
        <w:gridCol w:w="125"/>
        <w:gridCol w:w="545"/>
        <w:gridCol w:w="9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 balance, July 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4,220</w:t>
            </w:r>
          </w:p>
        </w:tc>
        <w:tc>
          <w:tcPr>
            <w:tcW w:w="9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period expense and adjustments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5,499</w:t>
            </w:r>
          </w:p>
        </w:tc>
        <w:tc>
          <w:tcPr>
            <w:tcW w:w="9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or credits to customers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9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 balance, June 30</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current portion of the warranty accrual ($4,210 and $4,174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is reflected in accrued liabilities, while the long-term portion ($994 and $1,083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is included in other long-term liabilities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Long-term debt consisted of the following at </w:t>
      </w:r>
      <w:r>
        <w:rPr>
          <w:rStyle w:val="Emphasis"/>
          <w:rFonts w:ascii="Times New Roman" w:hAnsi="Times New Roman"/>
          <w:caps w:val="false"/>
          <w:smallCaps w:val="false"/>
          <w:sz w:val="20"/>
        </w:rPr>
        <w:t>June 30:</w:t>
      </w:r>
    </w:p>
    <w:p>
      <w:pPr>
        <w:pStyle w:val="TextBody"/>
        <w:bidi w:val="0"/>
        <w:spacing w:before="0" w:after="0"/>
        <w:ind w:left="0" w:right="0" w:hanging="0"/>
        <w:jc w:val="left"/>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2930"/>
        <w:gridCol w:w="60"/>
        <w:gridCol w:w="125"/>
        <w:gridCol w:w="590"/>
        <w:gridCol w:w="80"/>
        <w:gridCol w:w="60"/>
        <w:gridCol w:w="125"/>
        <w:gridCol w:w="590"/>
        <w:gridCol w:w="80"/>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Credit Agreement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loans (expire June 2031)</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17,921</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 (due June 2031)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13,500</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Subtotal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31,446</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maturities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debt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28,446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Net carrying value of term loan at </w:t>
      </w:r>
      <w:r>
        <w:rPr>
          <w:rStyle w:val="Emphasis"/>
          <w:rFonts w:ascii="Times New Roman" w:hAnsi="Times New Roman"/>
          <w:caps w:val="false"/>
          <w:smallCaps w:val="false"/>
          <w:sz w:val="20"/>
        </w:rPr>
        <w:t>June 30:</w:t>
      </w:r>
    </w:p>
    <w:p>
      <w:pPr>
        <w:pStyle w:val="TextBody"/>
        <w:bidi w:val="0"/>
        <w:spacing w:before="0" w:after="0"/>
        <w:ind w:left="0" w:right="0" w:hanging="0"/>
        <w:jc w:val="left"/>
        <w:rPr>
          <w:caps w:val="false"/>
          <w:smallCaps w:val="false"/>
        </w:rPr>
      </w:pPr>
      <w:r>
        <w:rPr>
          <w:caps w:val="false"/>
          <w:smallCaps w:val="false"/>
        </w:rPr>
        <w:t> </w:t>
      </w:r>
    </w:p>
    <w:tbl>
      <w:tblPr>
        <w:tblW w:w="4655" w:type="dxa"/>
        <w:jc w:val="left"/>
        <w:tblInd w:w="0" w:type="dxa"/>
        <w:tblLayout w:type="fixed"/>
        <w:tblCellMar>
          <w:top w:w="0" w:type="dxa"/>
          <w:left w:w="0" w:type="dxa"/>
          <w:bottom w:w="0" w:type="dxa"/>
          <w:right w:w="0" w:type="dxa"/>
        </w:tblCellMar>
      </w:tblPr>
      <w:tblGrid>
        <w:gridCol w:w="3095"/>
        <w:gridCol w:w="60"/>
        <w:gridCol w:w="60"/>
        <w:gridCol w:w="590"/>
        <w:gridCol w:w="80"/>
        <w:gridCol w:w="60"/>
        <w:gridCol w:w="60"/>
        <w:gridCol w:w="590"/>
        <w:gridCol w:w="60"/>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13,500</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unamortized debt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carrying value of term loan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Credit Agreement Debt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Current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Twin Disc, Incorporated (the “Company”) entered into a Credit Agreement (the “Credit Agreement”) among the Company, as Borrower; Kobelt Manufacturing Co. Ltd. ("Kobelt"), as Guarantor; Bank of Montreal, as a Lender, Administrative Agent, Swing Line Lender, and L/C Issuer; and JPMorgan Chase Bank, N.A. ("Chase"), as a Lender. The Credit Agreement refinanced and replaced the credit agreement dated </w:t>
      </w:r>
      <w:r>
        <w:rPr>
          <w:rStyle w:val="Emphasis"/>
          <w:rFonts w:ascii="Times New Roman" w:hAnsi="Times New Roman"/>
          <w:caps w:val="false"/>
          <w:smallCaps w:val="false"/>
          <w:sz w:val="20"/>
        </w:rPr>
        <w:t xml:space="preserve">February 14, 2025 </w:t>
      </w:r>
      <w:r>
        <w:rPr>
          <w:rFonts w:ascii="Times New Roman" w:hAnsi="Times New Roman"/>
          <w:caps w:val="false"/>
          <w:smallCaps w:val="false"/>
          <w:sz w:val="20"/>
        </w:rPr>
        <w:t xml:space="preserve">among the Company, Kobelt, and Bank of Montreal. Capitalized terms in this Annual Report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otherwise defined herein are defined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Pursuant to the Credit Agreement, Bank of Montreal and Chase (the “Lenders”) made Term Loans to the Company in an aggregate principal amount of $30,000,000. The maturity date of the Term Loans is </w:t>
      </w:r>
      <w:r>
        <w:rPr>
          <w:rStyle w:val="Emphasis"/>
          <w:rFonts w:ascii="Times New Roman" w:hAnsi="Times New Roman"/>
          <w:caps w:val="false"/>
          <w:smallCaps w:val="false"/>
          <w:sz w:val="20"/>
        </w:rPr>
        <w:t xml:space="preserve">June 30, 2031, </w:t>
      </w:r>
      <w:r>
        <w:rPr>
          <w:rFonts w:ascii="Times New Roman" w:hAnsi="Times New Roman"/>
          <w:caps w:val="false"/>
          <w:smallCaps w:val="false"/>
          <w:sz w:val="20"/>
        </w:rPr>
        <w:t xml:space="preserve">and the Company is required to make principal installments on the Term Loans of at least $375,000 per quarter, increasing to $562,500 per quarter for the quarter ending on or about </w:t>
      </w:r>
      <w:r>
        <w:rPr>
          <w:rStyle w:val="Emphasis"/>
          <w:rFonts w:ascii="Times New Roman" w:hAnsi="Times New Roman"/>
          <w:caps w:val="false"/>
          <w:smallCaps w:val="false"/>
          <w:sz w:val="20"/>
        </w:rPr>
        <w:t xml:space="preserve">September 30, 2028, </w:t>
      </w:r>
      <w:r>
        <w:rPr>
          <w:rFonts w:ascii="Times New Roman" w:hAnsi="Times New Roman"/>
          <w:caps w:val="false"/>
          <w:smallCaps w:val="false"/>
          <w:sz w:val="20"/>
        </w:rPr>
        <w:t xml:space="preserve">and $750,000 per quarter for the quarter ending on or about </w:t>
      </w:r>
      <w:r>
        <w:rPr>
          <w:rStyle w:val="Emphasis"/>
          <w:rFonts w:ascii="Times New Roman" w:hAnsi="Times New Roman"/>
          <w:caps w:val="false"/>
          <w:smallCaps w:val="false"/>
          <w:sz w:val="20"/>
        </w:rPr>
        <w:t>September 30,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Credit Agreement also allows the Company to enter into Revolving Loans with the Lenders from time to time prior to </w:t>
      </w:r>
      <w:r>
        <w:rPr>
          <w:rStyle w:val="Emphasis"/>
          <w:rFonts w:ascii="Times New Roman" w:hAnsi="Times New Roman"/>
          <w:caps w:val="false"/>
          <w:smallCaps w:val="false"/>
          <w:sz w:val="20"/>
        </w:rPr>
        <w:t>June 30, 2031 (</w:t>
      </w:r>
      <w:r>
        <w:rPr>
          <w:rFonts w:ascii="Times New Roman" w:hAnsi="Times New Roman"/>
          <w:caps w:val="false"/>
          <w:smallCaps w:val="false"/>
          <w:sz w:val="20"/>
        </w:rPr>
        <w:t xml:space="preserve">the “Revolving Credit Termination Date”) in amounts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exceed $60,000,000 (the “Revolving Credit Commitment”). The Revolving Credit Commitment includes a $5,000,000 sublimit for Swing Loans and a $4,000,000 sublimit for Letters of Credit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requested by the Company from time to time until the Revolving Credit Termination Date. Each Swing Loan or Letter of Credit provided pursuant to the terms of the Credit Agreement shall be a Revolving Loan provided under the Revolving Credit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rates under the Credit Agreement are based on the secured overnight financing rate (“SOFR”), the euro interbank offered rate (the “EURIBO Rate”), the Canadian Overnight Repo Rate Average (the “CORRA”), or a Base Rate based on the highest of the prime rate, federal funds rate, or Term SOFR. Loans under the Credit Agreement are designated as either as SOFR Loans, which accrue interest at a Term SOFR plus an Applicable Margin; Base Rate Loans, which accrue interest at the Base Rate plus an Applicable Margin; Eurodollar Loans, which accrue interest at the EURIBO Rate plus an Applicable Margin; Term CORRA Loans, which accrue interest at an Adjusted Term CORRA plus an Applicable Margin; Daily Compounded CORRA Loans, which accrue interest at a Daily Compounded CORRA plus an Applicable Margin; or Canadian Prime Rate Loans, which accrue interest at the Canadian Prime Rate plus an Applicable Margin. The Applicable Margin for Loans is between 1.50% and 3.00%, and the Applicable Margin for the Unused Revolving Credit Commitment is between 0.15% and 0.30% (each depending on the Company’s Total Funded Debt to EBITDA ratio). The Term Loan has been designated as a SOFR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Borrowings under the Credit Agreement are secured by substantially all of the Company’s and Kobelt’s personal property, including accounts receivable, inventory, machinery and equipment, and intellectual property. The Company has also pledged 65% of its equity interests in certain foreign subsidiaries. To effect these security interests, the Company entered into an Amended and Restated Security Agreement, Amended and Restated IP Security Agreement, Amended and Restated Pledge Agreement, and Amended and Restated Perfection Certificate with the Administrative Agent, and the Company entered into an Amended and Restated Agreement as to Liens and Encumbrances and an Amended and Restated Negative Pledge Agreement with the Administrative Agent with regard to the Company’s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Upon the occurrence of an Event of Default, the Administrative Agent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take the following actions upon written notice to the Company: (</w:t>
      </w:r>
      <w:r>
        <w:rPr>
          <w:rStyle w:val="Emphasis"/>
          <w:rFonts w:ascii="Times New Roman" w:hAnsi="Times New Roman"/>
          <w:caps w:val="false"/>
          <w:smallCaps w:val="false"/>
          <w:sz w:val="20"/>
        </w:rPr>
        <w:t>1</w:t>
      </w:r>
      <w:r>
        <w:rPr>
          <w:rFonts w:ascii="Times New Roman" w:hAnsi="Times New Roman"/>
          <w:caps w:val="false"/>
          <w:smallCaps w:val="false"/>
          <w:sz w:val="20"/>
        </w:rPr>
        <w:t>) terminate the remaining Commitments and all obligations of the Lenders under the Credit Agreement; (</w:t>
      </w:r>
      <w:r>
        <w:rPr>
          <w:rStyle w:val="Emphasis"/>
          <w:rFonts w:ascii="Times New Roman" w:hAnsi="Times New Roman"/>
          <w:caps w:val="false"/>
          <w:smallCaps w:val="false"/>
          <w:sz w:val="20"/>
        </w:rPr>
        <w:t>2</w:t>
      </w:r>
      <w:r>
        <w:rPr>
          <w:rFonts w:ascii="Times New Roman" w:hAnsi="Times New Roman"/>
          <w:caps w:val="false"/>
          <w:smallCaps w:val="false"/>
          <w:sz w:val="20"/>
        </w:rPr>
        <w:t>) declare the principal and accrued interest of all Loans outstanding under the Credit Agreement to be immediately due and payable; and (</w:t>
      </w:r>
      <w:r>
        <w:rPr>
          <w:rStyle w:val="Emphasis"/>
          <w:rFonts w:ascii="Times New Roman" w:hAnsi="Times New Roman"/>
          <w:caps w:val="false"/>
          <w:smallCaps w:val="false"/>
          <w:sz w:val="20"/>
        </w:rPr>
        <w:t>3</w:t>
      </w:r>
      <w:r>
        <w:rPr>
          <w:rFonts w:ascii="Times New Roman" w:hAnsi="Times New Roman"/>
          <w:caps w:val="false"/>
          <w:smallCaps w:val="false"/>
          <w:sz w:val="20"/>
        </w:rPr>
        <w:t>) demand the Company to immediately Cash Collateralize the outstanding L/C Obligations in an amount equal to 105% of the aggregate L/C Obligations. If such Event of Default is due to the Company’s bankruptcy, the actions and obligations listed above shall occur without notice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Prior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14, 2025, </w:t>
      </w:r>
      <w:r>
        <w:rPr>
          <w:rFonts w:ascii="Times New Roman" w:hAnsi="Times New Roman"/>
          <w:caps w:val="false"/>
          <w:smallCaps w:val="false"/>
          <w:sz w:val="20"/>
        </w:rPr>
        <w:t xml:space="preserve">the Company entered into an amended and restated Credit Agreement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Credit Agreement”) with Bank of Montreal (the “Bank”) that refinanced and replaced the credit agreement dated as of </w:t>
      </w:r>
      <w:r>
        <w:rPr>
          <w:rStyle w:val="Emphasis"/>
          <w:rFonts w:ascii="Times New Roman" w:hAnsi="Times New Roman"/>
          <w:caps w:val="false"/>
          <w:smallCaps w:val="false"/>
          <w:sz w:val="20"/>
        </w:rPr>
        <w:t xml:space="preserve">June 29, 2018, </w:t>
      </w:r>
      <w:r>
        <w:rPr>
          <w:rFonts w:ascii="Times New Roman" w:hAnsi="Times New Roman"/>
          <w:caps w:val="false"/>
          <w:smallCaps w:val="false"/>
          <w:sz w:val="20"/>
        </w:rPr>
        <w:t xml:space="preserve">as amended, between the Company and BMO Harris Bank, N.A.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Pursuant to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Credit Agreement, the Bank made a Term Loan to the Company in the principal amount of $15.0 million, consisting of an assignment of a term loan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Credit Agreement from BMO to the Bank with a remaining principal of $8.5 million and an additional advance of $6.5 million. The maturity date of the Term Loan was </w:t>
      </w:r>
      <w:r>
        <w:rPr>
          <w:rStyle w:val="Emphasis"/>
          <w:rFonts w:ascii="Times New Roman" w:hAnsi="Times New Roman"/>
          <w:caps w:val="false"/>
          <w:smallCaps w:val="false"/>
          <w:sz w:val="20"/>
        </w:rPr>
        <w:t xml:space="preserve">April 1, 2027, </w:t>
      </w:r>
      <w:r>
        <w:rPr>
          <w:rFonts w:ascii="Times New Roman" w:hAnsi="Times New Roman"/>
          <w:caps w:val="false"/>
          <w:smallCaps w:val="false"/>
          <w:sz w:val="20"/>
        </w:rPr>
        <w:t>and the Company was required to make principal installments on the Term Loan of at least $0.75 million per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Credit Agreement, the Company was able to enter into Revolving Loans in amounts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exceed, in the aggregate and subject to a Borrowing Base, $50.0 million (the “Revolving Credit Commitment”). The Borrowing Base is the sum of (a) 85% of outstanding unpaid Eligible Receivables and (b) the lesser of $40.0 million for each fiscal month ending on or prior to </w:t>
      </w:r>
      <w:r>
        <w:rPr>
          <w:rStyle w:val="Emphasis"/>
          <w:rFonts w:ascii="Times New Roman" w:hAnsi="Times New Roman"/>
          <w:caps w:val="false"/>
          <w:smallCaps w:val="false"/>
          <w:sz w:val="20"/>
        </w:rPr>
        <w:t>August 31, 2025 (</w:t>
      </w:r>
      <w:r>
        <w:rPr>
          <w:rFonts w:ascii="Times New Roman" w:hAnsi="Times New Roman"/>
          <w:caps w:val="false"/>
          <w:smallCaps w:val="false"/>
          <w:sz w:val="20"/>
        </w:rPr>
        <w:t xml:space="preserve">reduced to $35.0 million for each fiscal month ending on or prior to </w:t>
      </w:r>
      <w:r>
        <w:rPr>
          <w:rStyle w:val="Emphasis"/>
          <w:rFonts w:ascii="Times New Roman" w:hAnsi="Times New Roman"/>
          <w:caps w:val="false"/>
          <w:smallCaps w:val="false"/>
          <w:sz w:val="20"/>
        </w:rPr>
        <w:t xml:space="preserve">August 31, 2026, </w:t>
      </w:r>
      <w:r>
        <w:rPr>
          <w:rFonts w:ascii="Times New Roman" w:hAnsi="Times New Roman"/>
          <w:caps w:val="false"/>
          <w:smallCaps w:val="false"/>
          <w:sz w:val="20"/>
        </w:rPr>
        <w:t xml:space="preserve">and further reduced to $32.5 million for each fiscal month ending thereafter) and 60% of Eligible Inventory for each fiscal month ending on or prior to </w:t>
      </w:r>
      <w:r>
        <w:rPr>
          <w:rStyle w:val="Emphasis"/>
          <w:rFonts w:ascii="Times New Roman" w:hAnsi="Times New Roman"/>
          <w:caps w:val="false"/>
          <w:smallCaps w:val="false"/>
          <w:sz w:val="20"/>
        </w:rPr>
        <w:t>August 31, 2025 (</w:t>
      </w:r>
      <w:r>
        <w:rPr>
          <w:rFonts w:ascii="Times New Roman" w:hAnsi="Times New Roman"/>
          <w:caps w:val="false"/>
          <w:smallCaps w:val="false"/>
          <w:sz w:val="20"/>
        </w:rPr>
        <w:t xml:space="preserve">reduced to 55% of Eligible Inventory for each fiscal month ending on or prior to </w:t>
      </w:r>
      <w:r>
        <w:rPr>
          <w:rStyle w:val="Emphasis"/>
          <w:rFonts w:ascii="Times New Roman" w:hAnsi="Times New Roman"/>
          <w:caps w:val="false"/>
          <w:smallCaps w:val="false"/>
          <w:sz w:val="20"/>
        </w:rPr>
        <w:t xml:space="preserve">February 28, 2026, </w:t>
      </w:r>
      <w:r>
        <w:rPr>
          <w:rFonts w:ascii="Times New Roman" w:hAnsi="Times New Roman"/>
          <w:caps w:val="false"/>
          <w:smallCaps w:val="false"/>
          <w:sz w:val="20"/>
        </w:rPr>
        <w:t xml:space="preserve">and 50% of Eligible Inventory for each fiscal month ending thereafter).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Credit Agreement allowed the Company to obtain Letters of Credit from the Bank, which if drawn upon by the beneficiary thereof and paid by the Bank, became Revolving Loans.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Credit Agreement, the Company could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pay cash dividends on its common stock in excess of $5.0 million in any fiscal year. The term of the Revolving Loans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Credit Agreement ran through </w:t>
      </w:r>
      <w:r>
        <w:rPr>
          <w:rStyle w:val="Emphasis"/>
          <w:rFonts w:ascii="Times New Roman" w:hAnsi="Times New Roman"/>
          <w:caps w:val="false"/>
          <w:smallCaps w:val="false"/>
          <w:sz w:val="20"/>
        </w:rPr>
        <w:t>April 1,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The Company used the increased borrowing capacity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Credit Agreement to help finance its acquisition of Kobelt. Kobelt was included as a Borrower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Credit Agreement, and was permitted to borrow directly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Credit Agreement up to the lesser of the Revolving Credit Commitment or $25.0 million. For purposes of determining the Borrowing Base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Credit Agreement, Eligible Receivables and Eligible Inventory of Kobelt were included.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Interest rates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Credit Agreement are based on the secured overnight financing rate (“SOFR”), the euro interbank offered rate (the “EURIBO Rate”), or the Canadian Overnight Repo Rate (the “CORRA”). Loans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Credit Agreement were designated as either as “SOFR Loans,” which accrued interest at an Adjusted Term SOFR plus an Applicable Margin; “Eurodollar Loans,” which accrued interest at the EURIBO Rate plus an Applicable Margin; “Term CORRA Loans,” which accrued interest at an Adjusted Term CORRA plus an Applicable Margin; “Daily Compounded CORRA Loans,” which accrued interest at a Daily Compounded CORRA plus an Applicable Margin; or Canadian Prime Rate Loans,” which accrued interest at the Canadian Prime Rate plus an Applicable Margin. The Applicable Margins were between 2% and 3.5% for Revolving Loans and Letters of Credit; 2.125% and 3.625% for Term Loans; and .15% and .3% for the Unused Revolving Credit Commitment (each depending on the Company’s Total Funded Debt to earnings before interest, taxes, depreciation and amortization (“EBITDA”)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Credit Agreement required the Company to meet certain financial covenants. Specifically, the Company’s Total Funded Debt to EBITDA ratio could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3.50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and the Company’s Fixed Charge Coverage Ratio could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less than 1.10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In determining whether the Company is in compliance with its Total Funded Debt/EBITDA Ratio, the Company’s EBITDA will included transaction expenses of up to $0.6 million for each of the Company’s Kobelt Acquisition and the Company’s prior Katsa acquisition, as well as pro-forma EBITDA of Katsa and Kobelt as permitted by the Bank. The Company’s Tangible Net Worth could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less than $100.0 million plus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of positive Net Income for each fiscal year ending on or after </w:t>
      </w:r>
      <w:r>
        <w:rPr>
          <w:rStyle w:val="Emphasis"/>
          <w:rFonts w:ascii="Times New Roman" w:hAnsi="Times New Roman"/>
          <w:caps w:val="false"/>
          <w:smallCaps w:val="false"/>
          <w:sz w:val="20"/>
        </w:rPr>
        <w:t>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Borrowings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Credit Agreement were secured by substantially all of the Company’s and Kobelt’s personal property, including accounts receivable, inventory, machinery and equipment, and intellectual property. The Company also pledged 65% of its equity interests in certain foreign subsidiaries. To effect these security interests, the Company entered into various amendment and assignment agreements that consented to the assignment to the Bank of certain agreements previously entered into between the Company and the Bank in connection with an </w:t>
      </w:r>
      <w:r>
        <w:rPr>
          <w:rStyle w:val="Emphasis"/>
          <w:rFonts w:ascii="Times New Roman" w:hAnsi="Times New Roman"/>
          <w:caps w:val="false"/>
          <w:smallCaps w:val="false"/>
          <w:sz w:val="20"/>
        </w:rPr>
        <w:t xml:space="preserve">April 22, 2016 </w:t>
      </w:r>
      <w:r>
        <w:rPr>
          <w:rFonts w:ascii="Times New Roman" w:hAnsi="Times New Roman"/>
          <w:caps w:val="false"/>
          <w:smallCaps w:val="false"/>
          <w:sz w:val="20"/>
        </w:rPr>
        <w:t xml:space="preserve">credit agreement between the Company and the Bank, and further amended such agreements pursuant to the terms of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Credit Agreement. Specifically, the Company amended and agreed to the assignment to the Bank of a Security Agreement, IP Security Agreement, Pledge Agreement, Perfection Certificate, and Assignment as to Liens and Encumbrances. The Company also amended and assigned to the Bank a Negative Pledge Agreement, pursuant to which it agreed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sell, lease or otherwise encumber real estate that it owns except as permitted by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Credit Agreement and the Negative Pledge Agreement. The Company also entered into a Collateral Assignment of Rights under Purchase Agreement for its acquisition of Kobelt. Borrowings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Credit Agreement were also required to be guaranteed by each U.S.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Upon the occurrence of an Event of Default, the Bank could take the following actions upon written notice to the Company: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terminate its remaining obligations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Credit Agreement;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declare all amounts outstanding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Credit Agreement to be immediately due and payable; and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demand the Company to immediately Cash Collateralize L/C Obligations in an amount equal to 105% of the aggregate L/C Obligations or a greater amount if the Bank determined a greater amount was necessary. If such Event of Default were due to the Company’s bankruptcy, the Bank could take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actions listed above without notice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During fiscal year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average interest rate was 6.46% on the Term Loan, and 5.21% on the Revolving Loans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Company’s borrowings described above approximates fair value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If measured at fair value in the financial statements, long-term debt (including the current portion) would be classified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Company’s interest rate swap matured on </w:t>
      </w:r>
      <w:r>
        <w:rPr>
          <w:rStyle w:val="Emphasis"/>
          <w:rFonts w:ascii="Times New Roman" w:hAnsi="Times New Roman"/>
          <w:caps w:val="false"/>
          <w:smallCaps w:val="false"/>
          <w:sz w:val="20"/>
        </w:rPr>
        <w:t xml:space="preserve">March 4, 2026, </w:t>
      </w:r>
      <w:r>
        <w:rPr>
          <w:rFonts w:ascii="Times New Roman" w:hAnsi="Times New Roman"/>
          <w:caps w:val="false"/>
          <w:smallCaps w:val="false"/>
          <w:sz w:val="20"/>
        </w:rPr>
        <w:t xml:space="preserve">and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renewed. The Company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interest rate swaps designated as cash flow hedges outstanding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maturity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 refinanced and replaced its Credit Agreement. As part of the refinance of the credit agreement the Revolving Loan designated in euro was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aggregate scheduled maturities of outstanding long-term debt obligations in subsequent years are as follows:</w:t>
      </w:r>
    </w:p>
    <w:p>
      <w:pPr>
        <w:pStyle w:val="TextBody"/>
        <w:bidi w:val="0"/>
        <w:spacing w:before="0" w:after="0"/>
        <w:ind w:left="0" w:right="0" w:hanging="0"/>
        <w:jc w:val="left"/>
        <w:rPr>
          <w:caps w:val="false"/>
          <w:smallCaps w:val="false"/>
        </w:rPr>
      </w:pPr>
      <w:r>
        <w:rPr>
          <w:caps w:val="false"/>
          <w:smallCaps w:val="false"/>
        </w:rPr>
        <w:t> </w:t>
      </w:r>
    </w:p>
    <w:tbl>
      <w:tblPr>
        <w:tblW w:w="1755" w:type="dxa"/>
        <w:jc w:val="left"/>
        <w:tblInd w:w="0" w:type="dxa"/>
        <w:tblLayout w:type="fixed"/>
        <w:tblCellMar>
          <w:top w:w="0" w:type="dxa"/>
          <w:left w:w="0" w:type="dxa"/>
          <w:bottom w:w="0" w:type="dxa"/>
          <w:right w:w="0" w:type="dxa"/>
        </w:tblCellMar>
      </w:tblPr>
      <w:tblGrid>
        <w:gridCol w:w="920"/>
        <w:gridCol w:w="60"/>
        <w:gridCol w:w="125"/>
        <w:gridCol w:w="590"/>
        <w:gridCol w:w="60"/>
      </w:tblGrid>
      <w:tr>
        <w:trPr/>
        <w:tc>
          <w:tcPr>
            <w:tcW w:w="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Fiscal Year</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w:t>
            </w:r>
          </w:p>
        </w:tc>
        <w:tc>
          <w:tcPr>
            <w:tcW w:w="60"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w:t>
            </w:r>
          </w:p>
        </w:tc>
        <w:tc>
          <w:tcPr>
            <w:tcW w:w="60"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22,286</w:t>
            </w:r>
          </w:p>
        </w:tc>
        <w:tc>
          <w:tcPr>
            <w:tcW w:w="60"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60"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29,810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lines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has established unsecured lines of credit,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withdrawn at the option of the banks. Under these arrangements, the Company has unused and available credit lines of $4,725 with a weighted average interest rate of 2.77%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$4,531 with a weighted average interest rate of 3.03% as of </w:t>
      </w:r>
      <w:r>
        <w:rPr>
          <w:rStyle w:val="Emphasis"/>
          <w:rFonts w:ascii="Times New Roman" w:hAnsi="Times New Roman"/>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 LEASE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following table provides a summary of leases recorded on the consolidated balance sheet at </w:t>
      </w:r>
      <w:r>
        <w:rPr>
          <w:rStyle w:val="Emphasis"/>
          <w:rFonts w:ascii="Times New Roman" w:hAnsi="Times New Roman"/>
          <w:caps w:val="false"/>
          <w:smallCaps w:val="false"/>
          <w:sz w:val="20"/>
        </w:rPr>
        <w:t>June 30.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38"/>
        <w:gridCol w:w="60"/>
        <w:gridCol w:w="4621"/>
        <w:gridCol w:w="60"/>
        <w:gridCol w:w="125"/>
        <w:gridCol w:w="590"/>
        <w:gridCol w:w="60"/>
        <w:gridCol w:w="60"/>
        <w:gridCol w:w="125"/>
        <w:gridCol w:w="590"/>
        <w:gridCol w:w="76"/>
      </w:tblGrid>
      <w:tr>
        <w:trPr/>
        <w:tc>
          <w:tcPr>
            <w:tcW w:w="38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Balance Sheet Location</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76" w:type="dxa"/>
            <w:tcBorders/>
            <w:vAlign w:val="center"/>
          </w:tcPr>
          <w:p>
            <w:pPr>
              <w:pStyle w:val="TableContents"/>
              <w:bidi w:val="0"/>
              <w:spacing w:before="0" w:after="283"/>
              <w:jc w:val="left"/>
              <w:rPr/>
            </w:pPr>
            <w:r>
              <w:rPr/>
              <w:t> </w:t>
            </w:r>
          </w:p>
        </w:tc>
      </w:tr>
      <w:tr>
        <w:trPr/>
        <w:tc>
          <w:tcPr>
            <w:tcW w:w="38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Lease Assets</w:t>
            </w:r>
          </w:p>
        </w:tc>
        <w:tc>
          <w:tcPr>
            <w:tcW w:w="60" w:type="dxa"/>
            <w:tcBorders/>
            <w:shd w:fill="CCEEFF" w:val="clear"/>
            <w:vAlign w:val="center"/>
          </w:tcPr>
          <w:p>
            <w:pPr>
              <w:pStyle w:val="TableContents"/>
              <w:bidi w:val="0"/>
              <w:spacing w:before="0" w:after="283"/>
              <w:jc w:val="left"/>
              <w:rPr/>
            </w:pPr>
            <w:r>
              <w:rPr/>
              <w:t> </w:t>
            </w:r>
          </w:p>
        </w:tc>
        <w:tc>
          <w:tcPr>
            <w:tcW w:w="46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38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operating lease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4621"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Right-of-use operating lease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17,250</w:t>
            </w:r>
          </w:p>
        </w:tc>
        <w:tc>
          <w:tcPr>
            <w:tcW w:w="76" w:type="dxa"/>
            <w:tcBorders/>
            <w:shd w:fill="FFFFFF" w:val="clear"/>
            <w:vAlign w:val="center"/>
          </w:tcPr>
          <w:p>
            <w:pPr>
              <w:pStyle w:val="TableContents"/>
              <w:bidi w:val="0"/>
              <w:spacing w:before="0" w:after="283"/>
              <w:jc w:val="left"/>
              <w:rPr/>
            </w:pPr>
            <w:r>
              <w:rPr/>
              <w:t> </w:t>
            </w:r>
          </w:p>
        </w:tc>
      </w:tr>
      <w:tr>
        <w:trPr/>
        <w:tc>
          <w:tcPr>
            <w:tcW w:w="38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finance lease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4621"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5,794</w:t>
            </w:r>
          </w:p>
        </w:tc>
        <w:tc>
          <w:tcPr>
            <w:tcW w:w="76" w:type="dxa"/>
            <w:tcBorders/>
            <w:shd w:fill="CCEEFF" w:val="clear"/>
            <w:vAlign w:val="center"/>
          </w:tcPr>
          <w:p>
            <w:pPr>
              <w:pStyle w:val="TableContents"/>
              <w:bidi w:val="0"/>
              <w:spacing w:before="0" w:after="283"/>
              <w:jc w:val="left"/>
              <w:rPr/>
            </w:pPr>
            <w:r>
              <w:rPr/>
              <w:t> </w:t>
            </w:r>
          </w:p>
        </w:tc>
      </w:tr>
      <w:tr>
        <w:trPr/>
        <w:tc>
          <w:tcPr>
            <w:tcW w:w="38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38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Lease Liabilities</w:t>
            </w:r>
          </w:p>
        </w:tc>
        <w:tc>
          <w:tcPr>
            <w:tcW w:w="60" w:type="dxa"/>
            <w:tcBorders/>
            <w:shd w:fill="CCEEFF" w:val="clear"/>
            <w:vAlign w:val="center"/>
          </w:tcPr>
          <w:p>
            <w:pPr>
              <w:pStyle w:val="TableContents"/>
              <w:bidi w:val="0"/>
              <w:spacing w:before="0" w:after="283"/>
              <w:jc w:val="left"/>
              <w:rPr/>
            </w:pPr>
            <w:r>
              <w:rPr/>
              <w:t> </w:t>
            </w:r>
          </w:p>
        </w:tc>
        <w:tc>
          <w:tcPr>
            <w:tcW w:w="46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38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 use operating lease liabilities, current</w:t>
            </w:r>
          </w:p>
        </w:tc>
        <w:tc>
          <w:tcPr>
            <w:tcW w:w="60" w:type="dxa"/>
            <w:tcBorders/>
            <w:shd w:fill="FFFFFF" w:val="clear"/>
            <w:vAlign w:val="center"/>
          </w:tcPr>
          <w:p>
            <w:pPr>
              <w:pStyle w:val="TableContents"/>
              <w:bidi w:val="0"/>
              <w:spacing w:before="0" w:after="283"/>
              <w:ind w:left="0" w:right="0" w:hanging="0"/>
              <w:jc w:val="left"/>
              <w:rPr/>
            </w:pPr>
            <w:r>
              <w:rPr/>
              <w:t> </w:t>
            </w:r>
          </w:p>
        </w:tc>
        <w:tc>
          <w:tcPr>
            <w:tcW w:w="4621"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Current maturities of right-of use operating lease obligations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3,393</w:t>
            </w:r>
          </w:p>
        </w:tc>
        <w:tc>
          <w:tcPr>
            <w:tcW w:w="76" w:type="dxa"/>
            <w:tcBorders/>
            <w:shd w:fill="FFFFFF" w:val="clear"/>
            <w:vAlign w:val="center"/>
          </w:tcPr>
          <w:p>
            <w:pPr>
              <w:pStyle w:val="TableContents"/>
              <w:bidi w:val="0"/>
              <w:spacing w:before="0" w:after="283"/>
              <w:jc w:val="left"/>
              <w:rPr/>
            </w:pPr>
            <w:r>
              <w:rPr/>
              <w:t> </w:t>
            </w:r>
          </w:p>
        </w:tc>
      </w:tr>
      <w:tr>
        <w:trPr/>
        <w:tc>
          <w:tcPr>
            <w:tcW w:w="38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 use operating lease liabilities, non-current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4621"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Right-of use operating lease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14,357</w:t>
            </w:r>
          </w:p>
        </w:tc>
        <w:tc>
          <w:tcPr>
            <w:tcW w:w="76" w:type="dxa"/>
            <w:tcBorders/>
            <w:shd w:fill="CCEEFF" w:val="clear"/>
            <w:vAlign w:val="center"/>
          </w:tcPr>
          <w:p>
            <w:pPr>
              <w:pStyle w:val="TableContents"/>
              <w:bidi w:val="0"/>
              <w:spacing w:before="0" w:after="283"/>
              <w:jc w:val="left"/>
              <w:rPr/>
            </w:pPr>
            <w:r>
              <w:rPr/>
              <w:t> </w:t>
            </w:r>
          </w:p>
        </w:tc>
      </w:tr>
      <w:tr>
        <w:trPr/>
        <w:tc>
          <w:tcPr>
            <w:tcW w:w="38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finance lease liabilities, current</w:t>
            </w:r>
          </w:p>
        </w:tc>
        <w:tc>
          <w:tcPr>
            <w:tcW w:w="60" w:type="dxa"/>
            <w:tcBorders/>
            <w:shd w:fill="FFFFFF" w:val="clear"/>
            <w:vAlign w:val="center"/>
          </w:tcPr>
          <w:p>
            <w:pPr>
              <w:pStyle w:val="TableContents"/>
              <w:bidi w:val="0"/>
              <w:spacing w:before="0" w:after="283"/>
              <w:ind w:left="0" w:right="0" w:hanging="0"/>
              <w:jc w:val="left"/>
              <w:rPr/>
            </w:pPr>
            <w:r>
              <w:rPr/>
              <w:t> </w:t>
            </w:r>
          </w:p>
        </w:tc>
        <w:tc>
          <w:tcPr>
            <w:tcW w:w="4621"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w:t>
            </w:r>
          </w:p>
        </w:tc>
        <w:tc>
          <w:tcPr>
            <w:tcW w:w="76" w:type="dxa"/>
            <w:tcBorders/>
            <w:shd w:fill="FFFFFF" w:val="clear"/>
            <w:vAlign w:val="center"/>
          </w:tcPr>
          <w:p>
            <w:pPr>
              <w:pStyle w:val="TableContents"/>
              <w:bidi w:val="0"/>
              <w:spacing w:before="0" w:after="283"/>
              <w:jc w:val="left"/>
              <w:rPr/>
            </w:pPr>
            <w:r>
              <w:rPr/>
              <w:t> </w:t>
            </w:r>
          </w:p>
        </w:tc>
      </w:tr>
      <w:tr>
        <w:trPr/>
        <w:tc>
          <w:tcPr>
            <w:tcW w:w="38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finance lease liabilities, non-current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4621"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5,232</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components of lease expense for the years ended </w:t>
      </w:r>
      <w:r>
        <w:rPr>
          <w:rStyle w:val="Emphasis"/>
          <w:rFonts w:ascii="Times New Roman" w:hAnsi="Times New Roman"/>
          <w:caps w:val="false"/>
          <w:smallCaps w:val="false"/>
          <w:sz w:val="20"/>
        </w:rPr>
        <w:t xml:space="preserve">June 30 </w:t>
      </w:r>
      <w:r>
        <w:rPr>
          <w:rFonts w:ascii="Times New Roman" w:hAnsi="Times New Roman"/>
          <w:caps w:val="false"/>
          <w:smallCaps w:val="false"/>
          <w:sz w:val="20"/>
        </w:rPr>
        <w:t>were as follows:</w:t>
      </w:r>
    </w:p>
    <w:p>
      <w:pPr>
        <w:pStyle w:val="TextBody"/>
        <w:bidi w:val="0"/>
        <w:spacing w:before="0" w:after="0"/>
        <w:ind w:left="0" w:right="0" w:hanging="0"/>
        <w:jc w:val="left"/>
        <w:rPr>
          <w:caps w:val="false"/>
          <w:smallCaps w:val="false"/>
        </w:rPr>
      </w:pPr>
      <w:r>
        <w:rPr>
          <w:caps w:val="false"/>
          <w:smallCaps w:val="false"/>
        </w:rPr>
        <w:t> </w:t>
      </w:r>
    </w:p>
    <w:tbl>
      <w:tblPr>
        <w:tblW w:w="4310" w:type="dxa"/>
        <w:jc w:val="left"/>
        <w:tblInd w:w="0" w:type="dxa"/>
        <w:tblLayout w:type="fixed"/>
        <w:tblCellMar>
          <w:top w:w="0" w:type="dxa"/>
          <w:left w:w="0" w:type="dxa"/>
          <w:bottom w:w="0" w:type="dxa"/>
          <w:right w:w="0" w:type="dxa"/>
        </w:tblCellMar>
      </w:tblPr>
      <w:tblGrid>
        <w:gridCol w:w="2810"/>
        <w:gridCol w:w="60"/>
        <w:gridCol w:w="125"/>
        <w:gridCol w:w="485"/>
        <w:gridCol w:w="80"/>
        <w:gridCol w:w="60"/>
        <w:gridCol w:w="125"/>
        <w:gridCol w:w="485"/>
        <w:gridCol w:w="80"/>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8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3,840</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w:t>
            </w:r>
          </w:p>
        </w:tc>
        <w:tc>
          <w:tcPr>
            <w:tcW w:w="8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cost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6,123</w:t>
            </w:r>
          </w:p>
        </w:tc>
        <w:tc>
          <w:tcPr>
            <w:tcW w:w="8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Sublease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information related to leases was as follows:</w:t>
      </w:r>
    </w:p>
    <w:p>
      <w:pPr>
        <w:pStyle w:val="TextBody"/>
        <w:bidi w:val="0"/>
        <w:spacing w:before="0" w:after="0"/>
        <w:ind w:left="0" w:right="0" w:hanging="0"/>
        <w:jc w:val="left"/>
        <w:rPr>
          <w:caps w:val="false"/>
          <w:smallCaps w:val="false"/>
        </w:rPr>
      </w:pPr>
      <w:r>
        <w:rPr>
          <w:caps w:val="false"/>
          <w:smallCaps w:val="false"/>
        </w:rPr>
        <w:t> </w:t>
      </w:r>
    </w:p>
    <w:tbl>
      <w:tblPr>
        <w:tblW w:w="7475" w:type="dxa"/>
        <w:jc w:val="left"/>
        <w:tblInd w:w="0" w:type="dxa"/>
        <w:tblLayout w:type="fixed"/>
        <w:tblCellMar>
          <w:top w:w="0" w:type="dxa"/>
          <w:left w:w="0" w:type="dxa"/>
          <w:bottom w:w="0" w:type="dxa"/>
          <w:right w:w="0" w:type="dxa"/>
        </w:tblCellMar>
      </w:tblPr>
      <w:tblGrid>
        <w:gridCol w:w="5765"/>
        <w:gridCol w:w="60"/>
        <w:gridCol w:w="125"/>
        <w:gridCol w:w="485"/>
        <w:gridCol w:w="185"/>
        <w:gridCol w:w="60"/>
        <w:gridCol w:w="125"/>
        <w:gridCol w:w="485"/>
        <w:gridCol w:w="185"/>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4,330</w:t>
            </w:r>
          </w:p>
        </w:tc>
        <w:tc>
          <w:tcPr>
            <w:tcW w:w="18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finance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18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cash flows from finance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w:t>
            </w:r>
          </w:p>
        </w:tc>
        <w:tc>
          <w:tcPr>
            <w:tcW w:w="18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Right-of-use-assets obtained in exchange for lease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2,863</w:t>
            </w:r>
          </w:p>
        </w:tc>
        <w:tc>
          <w:tcPr>
            <w:tcW w:w="18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w:t>
            </w:r>
          </w:p>
        </w:tc>
        <w:tc>
          <w:tcPr>
            <w:tcW w:w="18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(years):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18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8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Approximate future minimum rental commitments under non-cancellable leases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were as follows:</w:t>
      </w:r>
    </w:p>
    <w:p>
      <w:pPr>
        <w:pStyle w:val="TextBody"/>
        <w:bidi w:val="0"/>
        <w:spacing w:before="0" w:after="0"/>
        <w:ind w:left="0" w:right="0" w:hanging="0"/>
        <w:jc w:val="left"/>
        <w:rPr>
          <w:caps w:val="false"/>
          <w:smallCaps w:val="false"/>
        </w:rPr>
      </w:pPr>
      <w:r>
        <w:rPr>
          <w:caps w:val="false"/>
          <w:smallCaps w:val="false"/>
        </w:rPr>
        <w:t> </w:t>
      </w:r>
    </w:p>
    <w:tbl>
      <w:tblPr>
        <w:tblW w:w="5783" w:type="dxa"/>
        <w:jc w:val="left"/>
        <w:tblInd w:w="0" w:type="dxa"/>
        <w:tblLayout w:type="fixed"/>
        <w:tblCellMar>
          <w:top w:w="0" w:type="dxa"/>
          <w:left w:w="0" w:type="dxa"/>
          <w:bottom w:w="0" w:type="dxa"/>
          <w:right w:w="0" w:type="dxa"/>
        </w:tblCellMar>
      </w:tblPr>
      <w:tblGrid>
        <w:gridCol w:w="2840"/>
        <w:gridCol w:w="60"/>
        <w:gridCol w:w="247"/>
        <w:gridCol w:w="1167"/>
        <w:gridCol w:w="80"/>
        <w:gridCol w:w="60"/>
        <w:gridCol w:w="233"/>
        <w:gridCol w:w="1016"/>
        <w:gridCol w:w="8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8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ind w:left="0" w:right="0" w:hanging="0"/>
              <w:jc w:val="left"/>
              <w:rPr/>
            </w:pPr>
            <w:r>
              <w:rPr/>
              <w:t> </w:t>
            </w:r>
          </w:p>
        </w:tc>
        <w:tc>
          <w:tcPr>
            <w:tcW w:w="2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1,442</w:t>
            </w:r>
          </w:p>
        </w:tc>
        <w:tc>
          <w:tcPr>
            <w:tcW w:w="8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ind w:left="0" w:right="0" w:hanging="0"/>
              <w:jc w:val="left"/>
              <w:rPr/>
            </w:pPr>
            <w:r>
              <w:rPr/>
              <w:t> </w:t>
            </w:r>
          </w:p>
        </w:tc>
        <w:tc>
          <w:tcPr>
            <w:tcW w:w="11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10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w:t>
            </w:r>
          </w:p>
        </w:tc>
        <w:tc>
          <w:tcPr>
            <w:tcW w:w="8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ind w:left="0" w:right="0" w:hanging="0"/>
              <w:jc w:val="left"/>
              <w:rPr/>
            </w:pPr>
            <w:r>
              <w:rPr/>
              <w:t> </w:t>
            </w:r>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w:t>
            </w:r>
          </w:p>
        </w:tc>
        <w:tc>
          <w:tcPr>
            <w:tcW w:w="8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ind w:left="0" w:right="0" w:hanging="0"/>
              <w:jc w:val="left"/>
              <w:rPr/>
            </w:pPr>
            <w:r>
              <w:rPr/>
              <w:t> </w:t>
            </w:r>
          </w:p>
        </w:tc>
        <w:tc>
          <w:tcPr>
            <w:tcW w:w="11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10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w:t>
            </w:r>
          </w:p>
        </w:tc>
        <w:tc>
          <w:tcPr>
            <w:tcW w:w="8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ind w:left="0" w:right="0" w:hanging="0"/>
              <w:jc w:val="left"/>
              <w:rPr/>
            </w:pPr>
            <w:r>
              <w:rPr/>
              <w:t> </w:t>
            </w:r>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w:t>
            </w:r>
          </w:p>
        </w:tc>
        <w:tc>
          <w:tcPr>
            <w:tcW w:w="8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w:t>
            </w:r>
          </w:p>
        </w:tc>
        <w:tc>
          <w:tcPr>
            <w:tcW w:w="8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future lease payments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ind w:left="0" w:right="0" w:hanging="0"/>
              <w:jc w:val="left"/>
              <w:rPr/>
            </w:pPr>
            <w:r>
              <w:rPr/>
              <w:t> </w:t>
            </w:r>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6,691</w:t>
            </w:r>
          </w:p>
        </w:tc>
        <w:tc>
          <w:tcPr>
            <w:tcW w:w="8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Amount representing interest</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future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2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total number of shares of common stock outstanding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14,423,539 and 14,150,581, respectively.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treasury stock consisted of 209,263 and 482,181 shares of common stock, respectively. The Company issued 272,918 and 155,597 shares of treasury stock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to fulfill its obligations under its incentive compensation plans. The Company also recorded forfeitures of 2,195 and 0 shares of previously issued restricted stock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The difference between the cost of treasury shares and the option price is recorded in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Under an authorization given by the Board of Directors on </w:t>
      </w:r>
      <w:r>
        <w:rPr>
          <w:rStyle w:val="Emphasis"/>
          <w:rFonts w:ascii="Times New Roman" w:hAnsi="Times New Roman"/>
          <w:caps w:val="false"/>
          <w:smallCaps w:val="false"/>
          <w:sz w:val="20"/>
        </w:rPr>
        <w:t xml:space="preserve">July 27, 2012, </w:t>
      </w:r>
      <w:r>
        <w:rPr>
          <w:rFonts w:ascii="Times New Roman" w:hAnsi="Times New Roman"/>
          <w:caps w:val="false"/>
          <w:smallCaps w:val="false"/>
          <w:sz w:val="20"/>
        </w:rPr>
        <w:t xml:space="preserve">the Company is permitted to make open market purchases of its common stock.  The Company did not make any open market purchases during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most recent fiscal years.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315,000 shares remain authorized for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Cash dividends per share were $0.16 and $0.16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authorized to issue 200,000 shares of preferred stock, none of which have been issued. The Company has designated 150,000 shares of the preferred stock as Series A Junior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The components of accumulated other comprehensive income (loss) included in equity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are as follows:</w:t>
      </w:r>
    </w:p>
    <w:p>
      <w:pPr>
        <w:pStyle w:val="TextBody"/>
        <w:bidi w:val="0"/>
        <w:spacing w:before="0" w:after="0"/>
        <w:ind w:left="0" w:right="0" w:hanging="0"/>
        <w:jc w:val="left"/>
        <w:rPr>
          <w:caps w:val="false"/>
          <w:smallCaps w:val="false"/>
        </w:rPr>
      </w:pPr>
      <w:r>
        <w:rPr>
          <w:caps w:val="false"/>
          <w:smallCaps w:val="false"/>
        </w:rPr>
        <w:t> </w:t>
      </w:r>
    </w:p>
    <w:tbl>
      <w:tblPr>
        <w:tblW w:w="10040" w:type="dxa"/>
        <w:jc w:val="left"/>
        <w:tblInd w:w="0" w:type="dxa"/>
        <w:tblLayout w:type="fixed"/>
        <w:tblCellMar>
          <w:top w:w="0" w:type="dxa"/>
          <w:left w:w="0" w:type="dxa"/>
          <w:bottom w:w="0" w:type="dxa"/>
          <w:right w:w="0" w:type="dxa"/>
        </w:tblCellMar>
      </w:tblPr>
      <w:tblGrid>
        <w:gridCol w:w="8315"/>
        <w:gridCol w:w="60"/>
        <w:gridCol w:w="125"/>
        <w:gridCol w:w="545"/>
        <w:gridCol w:w="80"/>
        <w:gridCol w:w="60"/>
        <w:gridCol w:w="125"/>
        <w:gridCol w:w="650"/>
        <w:gridCol w:w="80"/>
      </w:tblGrid>
      <w:tr>
        <w:trPr/>
        <w:tc>
          <w:tcPr>
            <w:tcW w:w="8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8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Translation adjustments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15,036</w:t>
            </w:r>
          </w:p>
        </w:tc>
        <w:tc>
          <w:tcPr>
            <w:tcW w:w="80" w:type="dxa"/>
            <w:tcBorders/>
            <w:shd w:fill="CCEEFF" w:val="clear"/>
            <w:vAlign w:val="center"/>
          </w:tcPr>
          <w:p>
            <w:pPr>
              <w:pStyle w:val="TableContents"/>
              <w:bidi w:val="0"/>
              <w:spacing w:before="0" w:after="283"/>
              <w:jc w:val="left"/>
              <w:rPr/>
            </w:pPr>
            <w:r>
              <w:rPr/>
              <w:t> </w:t>
            </w:r>
          </w:p>
        </w:tc>
      </w:tr>
      <w:tr>
        <w:trPr/>
        <w:tc>
          <w:tcPr>
            <w:tcW w:w="8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 plan adjustments, net of income taxes of ($298) and $154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gain (loss) on cash flow hedge derivatives, net of income taxes of $0 and $210,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0" w:type="dxa"/>
            <w:tcBorders/>
            <w:shd w:fill="CCEEFF" w:val="clear"/>
            <w:vAlign w:val="center"/>
          </w:tcPr>
          <w:p>
            <w:pPr>
              <w:pStyle w:val="TableContents"/>
              <w:bidi w:val="0"/>
              <w:spacing w:before="0" w:after="283"/>
              <w:jc w:val="left"/>
              <w:rPr/>
            </w:pPr>
            <w:r>
              <w:rPr/>
              <w:t> </w:t>
            </w:r>
          </w:p>
        </w:tc>
      </w:tr>
      <w:tr>
        <w:trPr/>
        <w:tc>
          <w:tcPr>
            <w:tcW w:w="8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gain (loss) on net investment hedge derivatives, net of income taxes of $0 and ($103),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 reconciliation for the changes in accumulated other comprehensive income (loss), net of tax, by component for the years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98"/>
        <w:gridCol w:w="60"/>
        <w:gridCol w:w="168"/>
        <w:gridCol w:w="797"/>
        <w:gridCol w:w="80"/>
        <w:gridCol w:w="60"/>
        <w:gridCol w:w="165"/>
        <w:gridCol w:w="853"/>
        <w:gridCol w:w="80"/>
        <w:gridCol w:w="60"/>
        <w:gridCol w:w="210"/>
        <w:gridCol w:w="638"/>
        <w:gridCol w:w="80"/>
        <w:gridCol w:w="60"/>
        <w:gridCol w:w="225"/>
        <w:gridCol w:w="989"/>
        <w:gridCol w:w="82"/>
      </w:tblGrid>
      <w:tr>
        <w:trPr/>
        <w:tc>
          <w:tcPr>
            <w:tcW w:w="55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Translation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Benefit Plan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w:t>
            </w:r>
          </w:p>
        </w:tc>
        <w:tc>
          <w:tcPr>
            <w:tcW w:w="82" w:type="dxa"/>
            <w:tcBorders/>
            <w:vAlign w:val="center"/>
          </w:tcPr>
          <w:p>
            <w:pPr>
              <w:pStyle w:val="TableContents"/>
              <w:bidi w:val="0"/>
              <w:spacing w:before="0" w:after="283"/>
              <w:jc w:val="left"/>
              <w:rPr/>
            </w:pPr>
            <w:r>
              <w:rPr/>
              <w:t> </w:t>
            </w:r>
          </w:p>
        </w:tc>
      </w:tr>
      <w:tr>
        <w:trPr/>
        <w:tc>
          <w:tcPr>
            <w:tcW w:w="55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Hedges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Hedges</w:t>
            </w:r>
          </w:p>
        </w:tc>
        <w:tc>
          <w:tcPr>
            <w:tcW w:w="82" w:type="dxa"/>
            <w:tcBorders/>
            <w:vAlign w:val="center"/>
          </w:tcPr>
          <w:p>
            <w:pPr>
              <w:pStyle w:val="TableContents"/>
              <w:bidi w:val="0"/>
              <w:spacing w:before="0" w:after="283"/>
              <w:jc w:val="left"/>
              <w:rPr/>
            </w:pPr>
            <w:r>
              <w:rPr/>
              <w:t> </w:t>
            </w:r>
          </w:p>
        </w:tc>
      </w:tr>
      <w:tr>
        <w:trPr/>
        <w:tc>
          <w:tcPr>
            <w:tcW w:w="55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2024</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w:t>
            </w:r>
          </w:p>
        </w:tc>
        <w:tc>
          <w:tcPr>
            <w:tcW w:w="82" w:type="dxa"/>
            <w:tcBorders/>
            <w:shd w:fill="CCEEFF" w:val="clear"/>
            <w:vAlign w:val="center"/>
          </w:tcPr>
          <w:p>
            <w:pPr>
              <w:pStyle w:val="TableContents"/>
              <w:bidi w:val="0"/>
              <w:spacing w:before="0" w:after="283"/>
              <w:jc w:val="left"/>
              <w:rPr/>
            </w:pPr>
            <w:r>
              <w:rPr/>
              <w:t> </w:t>
            </w:r>
          </w:p>
        </w:tc>
      </w:tr>
      <w:tr>
        <w:trPr/>
        <w:tc>
          <w:tcPr>
            <w:tcW w:w="55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before reclassifications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6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9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55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plan assets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55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reclassified from 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current period other comprehensive income (loss)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15,885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(11,461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598"/>
        <w:gridCol w:w="60"/>
        <w:gridCol w:w="168"/>
        <w:gridCol w:w="797"/>
        <w:gridCol w:w="80"/>
        <w:gridCol w:w="60"/>
        <w:gridCol w:w="165"/>
        <w:gridCol w:w="853"/>
        <w:gridCol w:w="80"/>
        <w:gridCol w:w="60"/>
        <w:gridCol w:w="210"/>
        <w:gridCol w:w="638"/>
        <w:gridCol w:w="80"/>
        <w:gridCol w:w="60"/>
        <w:gridCol w:w="291"/>
        <w:gridCol w:w="923"/>
        <w:gridCol w:w="82"/>
      </w:tblGrid>
      <w:tr>
        <w:trPr/>
        <w:tc>
          <w:tcPr>
            <w:tcW w:w="55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Translation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Benefit Plan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w:t>
            </w:r>
          </w:p>
        </w:tc>
        <w:tc>
          <w:tcPr>
            <w:tcW w:w="82" w:type="dxa"/>
            <w:tcBorders/>
            <w:vAlign w:val="center"/>
          </w:tcPr>
          <w:p>
            <w:pPr>
              <w:pStyle w:val="TableContents"/>
              <w:bidi w:val="0"/>
              <w:spacing w:before="0" w:after="283"/>
              <w:jc w:val="left"/>
              <w:rPr/>
            </w:pPr>
            <w:r>
              <w:rPr/>
              <w:t> </w:t>
            </w:r>
          </w:p>
        </w:tc>
      </w:tr>
      <w:tr>
        <w:trPr/>
        <w:tc>
          <w:tcPr>
            <w:tcW w:w="55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Hedges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Hedges</w:t>
            </w:r>
          </w:p>
        </w:tc>
        <w:tc>
          <w:tcPr>
            <w:tcW w:w="82" w:type="dxa"/>
            <w:tcBorders/>
            <w:vAlign w:val="center"/>
          </w:tcPr>
          <w:p>
            <w:pPr>
              <w:pStyle w:val="TableContents"/>
              <w:bidi w:val="0"/>
              <w:spacing w:before="0" w:after="283"/>
              <w:jc w:val="left"/>
              <w:rPr/>
            </w:pPr>
            <w:r>
              <w:rPr/>
              <w:t> </w:t>
            </w:r>
          </w:p>
        </w:tc>
      </w:tr>
      <w:tr>
        <w:trPr/>
        <w:tc>
          <w:tcPr>
            <w:tcW w:w="55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before reclassifications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6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55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reclassified from 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2" w:type="dxa"/>
            <w:tcBorders/>
            <w:shd w:fill="CCEEFF" w:val="clear"/>
            <w:vAlign w:val="center"/>
          </w:tcPr>
          <w:p>
            <w:pPr>
              <w:pStyle w:val="TableContents"/>
              <w:bidi w:val="0"/>
              <w:spacing w:before="0" w:after="283"/>
              <w:jc w:val="left"/>
              <w:rPr/>
            </w:pPr>
            <w:r>
              <w:rPr/>
              <w:t> </w:t>
            </w:r>
          </w:p>
        </w:tc>
      </w:tr>
      <w:tr>
        <w:trPr/>
        <w:tc>
          <w:tcPr>
            <w:tcW w:w="55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current period other comprehensive income (loss)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2" w:type="dxa"/>
            <w:tcBorders/>
            <w:shd w:fill="FFFFFF" w:val="clear"/>
            <w:vAlign w:val="center"/>
          </w:tcPr>
          <w:p>
            <w:pPr>
              <w:pStyle w:val="TableContents"/>
              <w:bidi w:val="0"/>
              <w:spacing w:before="0" w:after="283"/>
              <w:jc w:val="left"/>
              <w:rPr/>
            </w:pPr>
            <w:r>
              <w:rPr/>
              <w:t> </w:t>
            </w:r>
          </w:p>
        </w:tc>
      </w:tr>
      <w:tr>
        <w:trPr/>
        <w:tc>
          <w:tcPr>
            <w:tcW w:w="55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Reconciliation for the changes in benefit plan adjustments, net of tax for the year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is as follows:</w:t>
      </w:r>
    </w:p>
    <w:p>
      <w:pPr>
        <w:pStyle w:val="TextBody"/>
        <w:bidi w:val="0"/>
        <w:spacing w:before="0" w:after="0"/>
        <w:ind w:left="0" w:right="0" w:hanging="0"/>
        <w:jc w:val="left"/>
        <w:rPr>
          <w:caps w:val="false"/>
          <w:smallCaps w:val="false"/>
        </w:rPr>
      </w:pPr>
      <w:r>
        <w:rPr>
          <w:caps w:val="false"/>
          <w:smallCaps w:val="false"/>
        </w:rPr>
        <w:t> </w:t>
      </w:r>
    </w:p>
    <w:tbl>
      <w:tblPr>
        <w:tblW w:w="4455" w:type="dxa"/>
        <w:jc w:val="left"/>
        <w:tblInd w:w="0" w:type="dxa"/>
        <w:tblLayout w:type="fixed"/>
        <w:tblCellMar>
          <w:top w:w="0" w:type="dxa"/>
          <w:left w:w="0" w:type="dxa"/>
          <w:bottom w:w="0" w:type="dxa"/>
          <w:right w:w="0" w:type="dxa"/>
        </w:tblCellMar>
      </w:tblPr>
      <w:tblGrid>
        <w:gridCol w:w="3305"/>
        <w:gridCol w:w="60"/>
        <w:gridCol w:w="206"/>
        <w:gridCol w:w="804"/>
        <w:gridCol w:w="80"/>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80"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Reclassified</w:t>
            </w:r>
          </w:p>
        </w:tc>
        <w:tc>
          <w:tcPr>
            <w:tcW w:w="8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Changes in benefit plan items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Actuarial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3,170</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Transition asset and prior service benefit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Translation</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amortization</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3,160</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changes, net of tax</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Reconciliation for the changes in benefit plan adjustments, net of tax for the year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is as follows:</w:t>
      </w:r>
    </w:p>
    <w:p>
      <w:pPr>
        <w:pStyle w:val="TextBody"/>
        <w:bidi w:val="0"/>
        <w:spacing w:before="0" w:after="0"/>
        <w:ind w:left="0" w:right="0" w:hanging="0"/>
        <w:jc w:val="left"/>
        <w:rPr>
          <w:caps w:val="false"/>
          <w:smallCaps w:val="false"/>
        </w:rPr>
      </w:pPr>
      <w:r>
        <w:rPr>
          <w:caps w:val="false"/>
          <w:smallCaps w:val="false"/>
        </w:rPr>
        <w:t> </w:t>
      </w:r>
    </w:p>
    <w:tbl>
      <w:tblPr>
        <w:tblW w:w="4455" w:type="dxa"/>
        <w:jc w:val="left"/>
        <w:tblInd w:w="0" w:type="dxa"/>
        <w:tblLayout w:type="fixed"/>
        <w:tblCellMar>
          <w:top w:w="0" w:type="dxa"/>
          <w:left w:w="0" w:type="dxa"/>
          <w:bottom w:w="0" w:type="dxa"/>
          <w:right w:w="0" w:type="dxa"/>
        </w:tblCellMar>
      </w:tblPr>
      <w:tblGrid>
        <w:gridCol w:w="3305"/>
        <w:gridCol w:w="60"/>
        <w:gridCol w:w="187"/>
        <w:gridCol w:w="823"/>
        <w:gridCol w:w="80"/>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80"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Reclassified</w:t>
            </w:r>
          </w:p>
        </w:tc>
        <w:tc>
          <w:tcPr>
            <w:tcW w:w="8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Changes in benefit plan items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Actuarial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Transition asset and prior service benefit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plan assets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Translation</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amortization</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changes, net of tax</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 BUSINESS SEGMENTS AND FOREIGN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and its subsidiaries are engaged in the manufacture and sale of marine and heavy duty off-highway power transmission equipment. Principal products include marine transmissions, azimuth drives, surface drives, propellers and boat management systems, as well as power-shift transmissions, hydraulic torque converters, power take-offs, industrial clutches and controls systems. The Company sells to both domestic and foreign customers in a variety of market areas, principally pleasure craft, commercial, and military marine markets, energy and natural resources, government, and industrial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Net sales by product group for the years ended </w:t>
      </w:r>
      <w:r>
        <w:rPr>
          <w:rStyle w:val="Emphasis"/>
          <w:rFonts w:ascii="Times New Roman" w:hAnsi="Times New Roman"/>
          <w:caps w:val="false"/>
          <w:smallCaps w:val="false"/>
          <w:sz w:val="20"/>
        </w:rPr>
        <w:t xml:space="preserve">June 30 </w:t>
      </w:r>
      <w:r>
        <w:rPr>
          <w:rFonts w:ascii="Times New Roman" w:hAnsi="Times New Roman"/>
          <w:caps w:val="false"/>
          <w:smallCaps w:val="false"/>
          <w:sz w:val="20"/>
        </w:rPr>
        <w:t>is summarized as follows:</w:t>
      </w:r>
    </w:p>
    <w:p>
      <w:pPr>
        <w:pStyle w:val="TextBody"/>
        <w:bidi w:val="0"/>
        <w:spacing w:before="0" w:after="0"/>
        <w:ind w:left="0" w:right="0" w:hanging="0"/>
        <w:jc w:val="left"/>
        <w:rPr>
          <w:caps w:val="false"/>
          <w:smallCaps w:val="false"/>
        </w:rPr>
      </w:pPr>
      <w:r>
        <w:rPr>
          <w:caps w:val="false"/>
          <w:smallCaps w:val="false"/>
        </w:rPr>
        <w:t> </w:t>
      </w:r>
    </w:p>
    <w:tbl>
      <w:tblPr>
        <w:tblW w:w="5173" w:type="dxa"/>
        <w:jc w:val="left"/>
        <w:tblInd w:w="0" w:type="dxa"/>
        <w:tblLayout w:type="fixed"/>
        <w:tblCellMar>
          <w:top w:w="0" w:type="dxa"/>
          <w:left w:w="0" w:type="dxa"/>
          <w:bottom w:w="0" w:type="dxa"/>
          <w:right w:w="0" w:type="dxa"/>
        </w:tblCellMar>
      </w:tblPr>
      <w:tblGrid>
        <w:gridCol w:w="2555"/>
        <w:gridCol w:w="60"/>
        <w:gridCol w:w="181"/>
        <w:gridCol w:w="1008"/>
        <w:gridCol w:w="60"/>
        <w:gridCol w:w="60"/>
        <w:gridCol w:w="181"/>
        <w:gridCol w:w="1008"/>
        <w:gridCol w:w="6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41,502</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Land-based transmissions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80,192</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Marine and propulsion systems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201,101</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17,943</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340,738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Industrial products include clutches, power take-offs and pump drives sold to the agriculture, recycling, construction and oil and gas markets. The land-based transmission products include applications for oil field and natural gas, military, and airport rescue and firefighting. The marine and propulsion systems include marine transmission, azimuth drives, controls, surface drives, and propellers for the global commercial marine, pleasure craft, and patrol boat markets. Other includes non-Twin Disc manufactured products sold through Company-owned distribution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has two reportable segments: manufacturing and distribution.  Its segment structure reflects the way chief operating decision-maker (“CODM”) makes operating decisions and manages the growth and profitability of the business. It also corresponds with the CODM’s approach of allocating resources and assessing the financial performance of its segments. The Company’s CODM is the Chief Executive Officer, who reviews financial information for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reportable segments. The accounting practices of the segments are the same as those described in the summary of significant accounting policies. Transfers among segments are at established inter-company selling prices.  The CODM evaluates the performance of its segments based on net sales, gross profit (loss), operating income (loss), and net earnings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The following table presents the selected financial information with respect to the Company’s reportable segments for the year ended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09"/>
        <w:gridCol w:w="60"/>
        <w:gridCol w:w="188"/>
        <w:gridCol w:w="1047"/>
        <w:gridCol w:w="80"/>
        <w:gridCol w:w="60"/>
        <w:gridCol w:w="153"/>
        <w:gridCol w:w="857"/>
        <w:gridCol w:w="80"/>
        <w:gridCol w:w="60"/>
        <w:gridCol w:w="125"/>
        <w:gridCol w:w="755"/>
        <w:gridCol w:w="80"/>
        <w:gridCol w:w="60"/>
        <w:gridCol w:w="201"/>
        <w:gridCol w:w="1053"/>
        <w:gridCol w:w="80"/>
        <w:gridCol w:w="60"/>
        <w:gridCol w:w="169"/>
        <w:gridCol w:w="946"/>
        <w:gridCol w:w="82"/>
      </w:tblGrid>
      <w:tr>
        <w:trPr/>
        <w:tc>
          <w:tcPr>
            <w:tcW w:w="40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 and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82" w:type="dxa"/>
            <w:tcBorders/>
            <w:vAlign w:val="center"/>
          </w:tcPr>
          <w:p>
            <w:pPr>
              <w:pStyle w:val="TableContents"/>
              <w:bidi w:val="0"/>
              <w:spacing w:before="0" w:after="283"/>
              <w:ind w:left="0" w:right="0" w:hanging="0"/>
              <w:jc w:val="left"/>
              <w:rPr/>
            </w:pPr>
            <w:r>
              <w:rPr/>
              <w:t> </w:t>
            </w:r>
          </w:p>
        </w:tc>
      </w:tr>
      <w:tr>
        <w:trPr/>
        <w:tc>
          <w:tcPr>
            <w:tcW w:w="40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340,456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381,270</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Intra-segment sales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sales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consolidated net sales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284,161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381,270</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40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262,298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278,710</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Intra-segment cost of goods sold</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cost of goods sold</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consolidated cost of goods sold</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206,003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278,710</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102,560</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engineering and administrative expenses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84,455</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vAlign w:val="center"/>
          </w:tcPr>
          <w:p>
            <w:pPr>
              <w:pStyle w:val="TableContents"/>
              <w:bidi w:val="0"/>
              <w:spacing w:before="0" w:after="283"/>
              <w:jc w:val="left"/>
              <w:rPr/>
            </w:pPr>
            <w:r>
              <w:rPr/>
              <w:t xml:space="preserve">        </w:t>
            </w:r>
            <w:r>
              <w:rPr>
                <w:rFonts w:ascii="Times New Roman;Times;serif" w:hAnsi="Times New Roman;Times;serif"/>
                <w:sz w:val="20"/>
              </w:rPr>
              <w:t>Restructuring expense</w:t>
            </w:r>
          </w:p>
        </w:tc>
        <w:tc>
          <w:tcPr>
            <w:tcW w:w="60" w:type="dxa"/>
            <w:tcBorders/>
            <w:vAlign w:val="center"/>
          </w:tcPr>
          <w:p>
            <w:pPr>
              <w:pStyle w:val="TableContents"/>
              <w:bidi w:val="0"/>
              <w:spacing w:before="0" w:after="283"/>
              <w:jc w:val="left"/>
              <w:rPr/>
            </w:pPr>
            <w:r>
              <w:rPr/>
              <w:t> </w:t>
            </w:r>
          </w:p>
        </w:tc>
        <w:tc>
          <w:tcPr>
            <w:tcW w:w="188"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w:t>
            </w:r>
          </w:p>
        </w:tc>
        <w:tc>
          <w:tcPr>
            <w:tcW w:w="82" w:type="dxa"/>
            <w:tcBorders/>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income</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09"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 (loss)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17,960</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40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(3,078</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09"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consolidated other income (expense)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(4,364</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Pretax earnings (loss)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13,596</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(expense)</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13,974</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27,570</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Minority interest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attributable to Twin Disc, Incorporated</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27,077</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40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521,842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(142,599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401,245</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40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13,746</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40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Expenditures for segment assets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13,713</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The following table presents the selected financial information with respect to the Company’s reportable segments for the year ended </w:t>
      </w:r>
      <w:r>
        <w:rPr>
          <w:rStyle w:val="Emphasis"/>
          <w:rFonts w:ascii="Times New Roman" w:hAnsi="Times New Roman"/>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09"/>
        <w:gridCol w:w="60"/>
        <w:gridCol w:w="188"/>
        <w:gridCol w:w="1047"/>
        <w:gridCol w:w="80"/>
        <w:gridCol w:w="60"/>
        <w:gridCol w:w="153"/>
        <w:gridCol w:w="857"/>
        <w:gridCol w:w="80"/>
        <w:gridCol w:w="60"/>
        <w:gridCol w:w="125"/>
        <w:gridCol w:w="755"/>
        <w:gridCol w:w="80"/>
        <w:gridCol w:w="60"/>
        <w:gridCol w:w="201"/>
        <w:gridCol w:w="1053"/>
        <w:gridCol w:w="80"/>
        <w:gridCol w:w="60"/>
        <w:gridCol w:w="169"/>
        <w:gridCol w:w="946"/>
        <w:gridCol w:w="82"/>
      </w:tblGrid>
      <w:tr>
        <w:trPr/>
        <w:tc>
          <w:tcPr>
            <w:tcW w:w="40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 and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As Adjusted</w:t>
              <w:br/>
              <w:t>Consolidated</w:t>
            </w:r>
          </w:p>
        </w:tc>
        <w:tc>
          <w:tcPr>
            <w:tcW w:w="82" w:type="dxa"/>
            <w:tcBorders/>
            <w:vAlign w:val="center"/>
          </w:tcPr>
          <w:p>
            <w:pPr>
              <w:pStyle w:val="TableContents"/>
              <w:bidi w:val="0"/>
              <w:spacing w:before="0" w:after="283"/>
              <w:ind w:left="0" w:right="0" w:hanging="0"/>
              <w:jc w:val="left"/>
              <w:rPr/>
            </w:pPr>
            <w:r>
              <w:rPr/>
              <w:t> </w:t>
            </w:r>
          </w:p>
        </w:tc>
      </w:tr>
      <w:tr>
        <w:trPr/>
        <w:tc>
          <w:tcPr>
            <w:tcW w:w="40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295,550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340,738</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Intra-segment sales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sales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consolidated net sales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340,738</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40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228,610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246,815</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Intra-segment cost of goods sold</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cost of goods sold</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consolidated cost of goods sold</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168,706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246,815</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93,923</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engineering and administrative expenses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82,431</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4009"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Restructuring expenses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11,084</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40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(2,646</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(5,539</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consolidated other income (expense)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(8,118</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Pretax earnings (loss)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2,966</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(expense)</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09"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40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Minority interest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09"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attributable to Twin Disc, Incorporated</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40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(186,291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387,696</w:t>
            </w:r>
          </w:p>
        </w:tc>
        <w:tc>
          <w:tcPr>
            <w:tcW w:w="82" w:type="dxa"/>
            <w:tcBorders/>
            <w:shd w:fill="FFFFFF" w:val="clear"/>
            <w:vAlign w:val="center"/>
          </w:tcPr>
          <w:p>
            <w:pPr>
              <w:pStyle w:val="TableContents"/>
              <w:bidi w:val="0"/>
              <w:spacing w:before="0" w:after="283"/>
              <w:jc w:val="left"/>
              <w:rPr/>
            </w:pPr>
            <w:r>
              <w:rPr/>
              <w:t> </w:t>
            </w:r>
          </w:p>
        </w:tc>
      </w:tr>
      <w:tr>
        <w:trPr/>
        <w:tc>
          <w:tcPr>
            <w:tcW w:w="40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40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14,899</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40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Expenditures for segment assets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15,157</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Corporate expenses pertain to certain costs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allocated to the reportable segments, primarily consisting of corporate overhead costs, including administrative functions and global functional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Geographic information about the Company for the years ended </w:t>
      </w:r>
      <w:r>
        <w:rPr>
          <w:rStyle w:val="Emphasis"/>
          <w:rFonts w:ascii="Times New Roman" w:hAnsi="Times New Roman"/>
          <w:caps w:val="false"/>
          <w:smallCaps w:val="false"/>
          <w:sz w:val="20"/>
        </w:rPr>
        <w:t xml:space="preserve">June 30 </w:t>
      </w:r>
      <w:r>
        <w:rPr>
          <w:rFonts w:ascii="Times New Roman" w:hAnsi="Times New Roman"/>
          <w:caps w:val="false"/>
          <w:smallCaps w:val="false"/>
          <w:sz w:val="20"/>
        </w:rPr>
        <w:t>is summarized as follows:</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1265"/>
        <w:gridCol w:w="60"/>
        <w:gridCol w:w="125"/>
        <w:gridCol w:w="695"/>
        <w:gridCol w:w="60"/>
        <w:gridCol w:w="60"/>
        <w:gridCol w:w="125"/>
        <w:gridCol w:w="695"/>
        <w:gridCol w:w="60"/>
      </w:tblGrid>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87,549</w:t>
            </w:r>
          </w:p>
        </w:tc>
        <w:tc>
          <w:tcPr>
            <w:tcW w:w="6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Netherlands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52,735</w:t>
            </w:r>
          </w:p>
        </w:tc>
        <w:tc>
          <w:tcPr>
            <w:tcW w:w="6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Finland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24,618</w:t>
            </w:r>
          </w:p>
        </w:tc>
        <w:tc>
          <w:tcPr>
            <w:tcW w:w="6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28,666</w:t>
            </w:r>
          </w:p>
        </w:tc>
        <w:tc>
          <w:tcPr>
            <w:tcW w:w="6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Australia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22,358</w:t>
            </w:r>
          </w:p>
        </w:tc>
        <w:tc>
          <w:tcPr>
            <w:tcW w:w="6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Italy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10,420</w:t>
            </w:r>
          </w:p>
        </w:tc>
        <w:tc>
          <w:tcPr>
            <w:tcW w:w="6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countries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114,392</w:t>
            </w:r>
          </w:p>
        </w:tc>
        <w:tc>
          <w:tcPr>
            <w:tcW w:w="6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340,738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by geographic region are based on product shipment destination.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primarily pertain to property, plant, and equipment and exclude goodwill, other intangibles, and deferred income taxes. They are summarized as follows:</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1475"/>
        <w:gridCol w:w="60"/>
        <w:gridCol w:w="125"/>
        <w:gridCol w:w="590"/>
        <w:gridCol w:w="60"/>
        <w:gridCol w:w="60"/>
        <w:gridCol w:w="125"/>
        <w:gridCol w:w="590"/>
        <w:gridCol w:w="60"/>
      </w:tblGrid>
      <w:tr>
        <w:trPr/>
        <w:tc>
          <w:tcPr>
            <w:tcW w:w="14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Long-lived assets</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39,949</w:t>
            </w:r>
          </w:p>
        </w:tc>
        <w:tc>
          <w:tcPr>
            <w:tcW w:w="6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Netherlands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11,426</w:t>
            </w:r>
          </w:p>
        </w:tc>
        <w:tc>
          <w:tcPr>
            <w:tcW w:w="6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Finland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15,660</w:t>
            </w:r>
          </w:p>
        </w:tc>
        <w:tc>
          <w:tcPr>
            <w:tcW w:w="6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Belgium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8,184</w:t>
            </w:r>
          </w:p>
        </w:tc>
        <w:tc>
          <w:tcPr>
            <w:tcW w:w="6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5,952</w:t>
            </w:r>
          </w:p>
        </w:tc>
        <w:tc>
          <w:tcPr>
            <w:tcW w:w="6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Countries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8,411</w:t>
            </w:r>
          </w:p>
        </w:tc>
        <w:tc>
          <w:tcPr>
            <w:tcW w:w="6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89,582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customer accounted for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consolidated net sales in fiscal year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Disaggregated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following tables present details deemed most relevant to the users of the financial statements for the years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Net sales by product group for the year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is summarized as follows:</w:t>
      </w:r>
    </w:p>
    <w:p>
      <w:pPr>
        <w:pStyle w:val="TextBody"/>
        <w:bidi w:val="0"/>
        <w:spacing w:before="0" w:after="0"/>
        <w:ind w:left="0" w:right="0" w:hanging="0"/>
        <w:jc w:val="left"/>
        <w:rPr>
          <w:caps w:val="false"/>
          <w:smallCaps w:val="false"/>
        </w:rPr>
      </w:pPr>
      <w:r>
        <w:rPr>
          <w:caps w:val="false"/>
          <w:smallCaps w:val="false"/>
        </w:rPr>
        <w:t> </w:t>
      </w:r>
    </w:p>
    <w:tbl>
      <w:tblPr>
        <w:tblW w:w="7759" w:type="dxa"/>
        <w:jc w:val="left"/>
        <w:tblInd w:w="0" w:type="dxa"/>
        <w:tblLayout w:type="fixed"/>
        <w:tblCellMar>
          <w:top w:w="0" w:type="dxa"/>
          <w:left w:w="0" w:type="dxa"/>
          <w:bottom w:w="0" w:type="dxa"/>
          <w:right w:w="0" w:type="dxa"/>
        </w:tblCellMar>
      </w:tblPr>
      <w:tblGrid>
        <w:gridCol w:w="2570"/>
        <w:gridCol w:w="60"/>
        <w:gridCol w:w="188"/>
        <w:gridCol w:w="1047"/>
        <w:gridCol w:w="60"/>
        <w:gridCol w:w="60"/>
        <w:gridCol w:w="153"/>
        <w:gridCol w:w="857"/>
        <w:gridCol w:w="60"/>
        <w:gridCol w:w="60"/>
        <w:gridCol w:w="258"/>
        <w:gridCol w:w="1351"/>
        <w:gridCol w:w="80"/>
        <w:gridCol w:w="60"/>
        <w:gridCol w:w="125"/>
        <w:gridCol w:w="695"/>
        <w:gridCol w:w="75"/>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 of</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Intercompany Sales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75"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46,067</w:t>
            </w:r>
          </w:p>
        </w:tc>
        <w:tc>
          <w:tcPr>
            <w:tcW w:w="75"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Land-based transmissions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13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89,698</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Marine and propulsion systems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13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227,675</w:t>
            </w:r>
          </w:p>
        </w:tc>
        <w:tc>
          <w:tcPr>
            <w:tcW w:w="75"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17,830</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381,270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Net sales by product group for the year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is summarized as follows:</w:t>
      </w:r>
    </w:p>
    <w:p>
      <w:pPr>
        <w:pStyle w:val="TextBody"/>
        <w:bidi w:val="0"/>
        <w:spacing w:before="0" w:after="0"/>
        <w:ind w:left="0" w:right="0" w:hanging="0"/>
        <w:jc w:val="left"/>
        <w:rPr>
          <w:caps w:val="false"/>
          <w:smallCaps w:val="false"/>
        </w:rPr>
      </w:pPr>
      <w:r>
        <w:rPr>
          <w:caps w:val="false"/>
          <w:smallCaps w:val="false"/>
        </w:rPr>
        <w:t> </w:t>
      </w:r>
    </w:p>
    <w:tbl>
      <w:tblPr>
        <w:tblW w:w="7729" w:type="dxa"/>
        <w:jc w:val="left"/>
        <w:tblInd w:w="0" w:type="dxa"/>
        <w:tblLayout w:type="fixed"/>
        <w:tblCellMar>
          <w:top w:w="0" w:type="dxa"/>
          <w:left w:w="0" w:type="dxa"/>
          <w:bottom w:w="0" w:type="dxa"/>
          <w:right w:w="0" w:type="dxa"/>
        </w:tblCellMar>
      </w:tblPr>
      <w:tblGrid>
        <w:gridCol w:w="2555"/>
        <w:gridCol w:w="60"/>
        <w:gridCol w:w="188"/>
        <w:gridCol w:w="1047"/>
        <w:gridCol w:w="60"/>
        <w:gridCol w:w="60"/>
        <w:gridCol w:w="153"/>
        <w:gridCol w:w="857"/>
        <w:gridCol w:w="60"/>
        <w:gridCol w:w="60"/>
        <w:gridCol w:w="258"/>
        <w:gridCol w:w="1351"/>
        <w:gridCol w:w="80"/>
        <w:gridCol w:w="60"/>
        <w:gridCol w:w="125"/>
        <w:gridCol w:w="695"/>
        <w:gridCol w:w="6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 of</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Intercompany Sales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41,502</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Land-based transmissions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13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80,192</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Marine and propulsion systems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13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201,101</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17,943</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340,738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K.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adopted the Twin Disc, Incorporated Amended and Restated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Omnibus Incentive Plan (the “Omnibus Plan”), which was subsequently approved by the Company’s shareholders. The Omnibus Plan amended and restated the Twin Disc, Incorporated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Long-Term Incentive Plan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LTI Plan”), and effectively replaced the Twin Disc, Incorporated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Stock Incentive Plan for Non-Employee Directors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Directors' Plan”). Benefits under the Omnibus Plan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granted, awarded or paid in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a combination of stock options, stock appreciation rights, restricted stock awards, restricted stock units, cash-settled restricted stock units, performance stock awards, performance stock unit awards, performance unit awards, and dividend equivalent awards. The Omnibus Plan is designed to benefit key employees and consultants of the Company and its subsidiaries, as well as non-employee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There is reserved for issuance under the Plan an aggregate of 1,636,550 shares of the Company’s common stock, which consists of the previously-approved 715,000 shares of common stock reserved for issuance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LTI Plan prior to its amendment and restatement to become the Omnibus Plan; 521,550 shares of common stock that remained available for issuance under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Directors' Plan; and 400,000 newly authorized shares of common stock. Shares issued under the Omnibus Plan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authorized and unissued shares or shares reacquired by the Company in the open market or a combination of both. The aggregate amount is subject to proportionate adjustments for stock dividends, stock splits and similar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Shares available for future awards as of </w:t>
      </w:r>
      <w:r>
        <w:rPr>
          <w:rStyle w:val="Emphasis"/>
          <w:rFonts w:ascii="Times New Roman" w:hAnsi="Times New Roman"/>
          <w:caps w:val="false"/>
          <w:smallCaps w:val="false"/>
          <w:sz w:val="20"/>
        </w:rPr>
        <w:t xml:space="preserve">June 30 </w:t>
      </w:r>
      <w:r>
        <w:rPr>
          <w:rFonts w:ascii="Times New Roman" w:hAnsi="Times New Roman"/>
          <w:caps w:val="false"/>
          <w:smallCaps w:val="false"/>
          <w:sz w:val="20"/>
        </w:rPr>
        <w:t>were as follows (assuming that outstanding performance awards are issued at the target level of performance):</w:t>
      </w:r>
    </w:p>
    <w:p>
      <w:pPr>
        <w:pStyle w:val="TextBody"/>
        <w:bidi w:val="0"/>
        <w:spacing w:before="0" w:after="0"/>
        <w:ind w:left="0" w:right="0" w:hanging="0"/>
        <w:jc w:val="left"/>
        <w:rPr>
          <w:caps w:val="false"/>
          <w:smallCaps w:val="false"/>
        </w:rPr>
      </w:pPr>
      <w:r>
        <w:rPr>
          <w:caps w:val="false"/>
          <w:smallCaps w:val="false"/>
        </w:rPr>
        <w:t> </w:t>
      </w:r>
    </w:p>
    <w:tbl>
      <w:tblPr>
        <w:tblW w:w="2910" w:type="dxa"/>
        <w:jc w:val="left"/>
        <w:tblInd w:w="0" w:type="dxa"/>
        <w:tblLayout w:type="fixed"/>
        <w:tblCellMar>
          <w:top w:w="0" w:type="dxa"/>
          <w:left w:w="0" w:type="dxa"/>
          <w:bottom w:w="0" w:type="dxa"/>
          <w:right w:w="0" w:type="dxa"/>
        </w:tblCellMar>
      </w:tblPr>
      <w:tblGrid>
        <w:gridCol w:w="1160"/>
        <w:gridCol w:w="60"/>
        <w:gridCol w:w="60"/>
        <w:gridCol w:w="695"/>
        <w:gridCol w:w="60"/>
        <w:gridCol w:w="60"/>
        <w:gridCol w:w="60"/>
        <w:gridCol w:w="695"/>
        <w:gridCol w:w="60"/>
      </w:tblGrid>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Omnibus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566,168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Performance Stock Awards (</w:t>
      </w:r>
      <w:r>
        <w:rPr>
          <w:rFonts w:ascii="Times New Roman" w:hAnsi="Times New Roman"/>
          <w:caps w:val="false"/>
          <w:smallCaps w:val="false"/>
          <w:sz w:val="20"/>
        </w:rPr>
        <w:t>“</w:t>
      </w:r>
      <w:r>
        <w:rPr>
          <w:rFonts w:ascii="Times New Roman" w:hAnsi="Times New Roman"/>
          <w:i/>
          <w:caps w:val="false"/>
          <w:smallCaps w:val="false"/>
          <w:sz w:val="20"/>
        </w:rPr>
        <w:t>PSA</w:t>
      </w:r>
      <w:r>
        <w:rPr>
          <w:rFonts w:ascii="Times New Roman" w:hAnsi="Times New Roman"/>
          <w:caps w:val="false"/>
          <w:smallCaps w:val="false"/>
          <w:sz w:val="20"/>
        </w:rPr>
        <w:t>”</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granted a target number of 166,537 and 116,091 PSAs, respectively, to various employees and consultants of the Company, including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PSAs granted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will vest if the Company achieves performance-based target objectives relating to average return on invested capital and cumulative EBITDA (as defined in the PSA Grant Agreement), in the cumulative three fiscal year period ending </w:t>
      </w:r>
      <w:r>
        <w:rPr>
          <w:rStyle w:val="Emphasis"/>
          <w:rFonts w:ascii="Times New Roman" w:hAnsi="Times New Roman"/>
          <w:caps w:val="false"/>
          <w:smallCaps w:val="false"/>
          <w:sz w:val="20"/>
        </w:rPr>
        <w:t xml:space="preserve">June 30, 2028. </w:t>
      </w:r>
      <w:r>
        <w:rPr>
          <w:rFonts w:ascii="Times New Roman" w:hAnsi="Times New Roman"/>
          <w:caps w:val="false"/>
          <w:smallCaps w:val="false"/>
          <w:sz w:val="20"/>
        </w:rPr>
        <w:t>These PSAs are subject to adjustment if the Company's return on invested capital and cumulative EBITDA falls below or exceeds the specified target objective, and the maximum number of performance shares that can be awarded if the target objective is exceeded is 333,074. Based upon actual results to date, the Company is currently accruing compensation expense for these PSAs.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PSAs granted in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will vest if the Company achieves performance-based target objectives relating to average return on invested capital and cumulative EBITDA (as defined in the PSA Grant Agreement), in the cumulative three fiscal year period ending </w:t>
      </w:r>
      <w:r>
        <w:rPr>
          <w:rStyle w:val="Emphasis"/>
          <w:rFonts w:ascii="Times New Roman" w:hAnsi="Times New Roman"/>
          <w:caps w:val="false"/>
          <w:smallCaps w:val="false"/>
          <w:sz w:val="20"/>
        </w:rPr>
        <w:t xml:space="preserve">June 30, 2027. </w:t>
      </w:r>
      <w:r>
        <w:rPr>
          <w:rFonts w:ascii="Times New Roman" w:hAnsi="Times New Roman"/>
          <w:caps w:val="false"/>
          <w:smallCaps w:val="false"/>
          <w:sz w:val="20"/>
        </w:rPr>
        <w:t>These PSAs are subject to adjustment if the Company’s return on invested capital and cumulative EBITDA falls below or exceeds the specified target objective, and the maximum number of performance shares that can be awarded if the target objective is exceeded is 227,610. Based upon actual results to date, the Company is currently accruing compensation expense for these PSAs.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There were 280,342 and 233,154 unvested PSAs outstanding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The fair value of the PSAs (on the date of grant) is expensed over the performance period for the shares that are expected to ultimately vest. A total of 2,810 and 2,286 shares of performance stock awards were forfeited 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The compensation expense for the year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related PSAs, was $2,018 and $1,951, respectively. The tax expense from compensation expense for the year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related PSAs, was $473 and $417, respectively. The weighted average grant date fair value of the unvested awards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was $10.69.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had $1,543 of unrecognized compensation expense related to the unvested shares that would vest if the specified target objective was achieved for the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awards. The total fair value of performance stock awards vested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$2,762.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Performance Stock Unit Awards (</w:t>
      </w:r>
      <w:r>
        <w:rPr>
          <w:rFonts w:ascii="Times New Roman" w:hAnsi="Times New Roman"/>
          <w:caps w:val="false"/>
          <w:smallCaps w:val="false"/>
          <w:sz w:val="20"/>
        </w:rPr>
        <w:t>“</w:t>
      </w:r>
      <w:r>
        <w:rPr>
          <w:rFonts w:ascii="Times New Roman" w:hAnsi="Times New Roman"/>
          <w:i/>
          <w:caps w:val="false"/>
          <w:smallCaps w:val="false"/>
          <w:sz w:val="20"/>
        </w:rPr>
        <w:t>PSUA</w:t>
      </w:r>
      <w:r>
        <w:rPr>
          <w:rFonts w:ascii="Times New Roman" w:hAnsi="Times New Roman"/>
          <w:caps w:val="false"/>
          <w:smallCaps w:val="false"/>
          <w:sz w:val="20"/>
        </w:rPr>
        <w:t>”</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PSUAs entitle an individual to shares of common stock of the Company or cash in lieu of shares of Company common stock if specific terms and conditions or restrictions are met through a specified date. The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PSUAs will vest if the Company achieves performance-based target objectives relating to average return on invested capital and cumulative EBITDA (as defined in the PSUA Grant Agreement), in the cumulative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fiscal year period ending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These PSUAs are subject to adjustment if the Company's return on invested capital and cumulative EBITDA falls below or exceeds the specified target objective, and the maximum number of performance shares that can be awarded if the target objective is exceeded is 16,006.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There were 0 and 8,003 unvested PSUAs outstanding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 total of 0 and 2,470 shares of PSUAs were forfeited 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The compensation expense for the year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related to PSUAs was $202 and $24. respectively. The tax expense from compensation expense for the year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related PSUAs, was $47 and $6, respectively. The weighted average grant date fair value of the unvested awards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was $12.15.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had $0 of unrecognized compensation expense related to the unvested shares that would vest if the specified target objective was achieved for the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awards. The total fair value of performance stock awards vested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$190 and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Restricted Stock Awards (</w:t>
      </w:r>
      <w:r>
        <w:rPr>
          <w:rFonts w:ascii="Times New Roman" w:hAnsi="Times New Roman"/>
          <w:caps w:val="false"/>
          <w:smallCaps w:val="false"/>
          <w:sz w:val="20"/>
        </w:rPr>
        <w:t>“</w:t>
      </w:r>
      <w:r>
        <w:rPr>
          <w:rFonts w:ascii="Times New Roman" w:hAnsi="Times New Roman"/>
          <w:i/>
          <w:caps w:val="false"/>
          <w:smallCaps w:val="false"/>
          <w:sz w:val="20"/>
        </w:rPr>
        <w:t>RS</w:t>
      </w:r>
      <w:r>
        <w:rPr>
          <w:rFonts w:ascii="Times New Roman" w:hAnsi="Times New Roman"/>
          <w:caps w:val="false"/>
          <w:smallCaps w:val="false"/>
          <w:sz w:val="20"/>
        </w:rPr>
        <w:t>”</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has unvested RS outstanding that will vest if certain service conditions are fulfilled. The fair value of the RS grants is recorded as compensation over the vesting period, which is generally 1 to 3 years. 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granted 148,750 and 48,733 service based restricted shares, respectively, to employees and non-employee directors in each year. A total of 2,195 and 0 shares of restricted stock were forfeited 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There were 221,727 and 252,888 unvested shares outstanding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Compensation expense of $1,196 and $1,266 was recognized during the year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related to these service-based awards. The tax benefit from compensation expense for the year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related to these service-based awards, was $280 and $297, respectively. The total fair value of restricted stock grants vested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$1,896 and $464, respectively.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had $910 of unrecognized compensation expense related to restricted stock which will be recognized over the next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Restricted Stock Unit Awards (</w:t>
      </w:r>
      <w:r>
        <w:rPr>
          <w:rFonts w:ascii="Times New Roman" w:hAnsi="Times New Roman"/>
          <w:caps w:val="false"/>
          <w:smallCaps w:val="false"/>
          <w:sz w:val="20"/>
        </w:rPr>
        <w:t>“</w:t>
      </w:r>
      <w:r>
        <w:rPr>
          <w:rFonts w:ascii="Times New Roman" w:hAnsi="Times New Roman"/>
          <w:i/>
          <w:caps w:val="false"/>
          <w:smallCaps w:val="false"/>
          <w:sz w:val="20"/>
        </w:rPr>
        <w:t>RSU</w:t>
      </w:r>
      <w:r>
        <w:rPr>
          <w:rFonts w:ascii="Times New Roman" w:hAnsi="Times New Roman"/>
          <w:caps w:val="false"/>
          <w:smallCaps w:val="false"/>
          <w:sz w:val="20"/>
        </w:rPr>
        <w:t>”</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RSUs entitle an individual to shares of common stock of the Company or cash in lieu of shares of Company common stock if specific terms and conditions or restrictions are met through a specified date, generally three years from the date of grant or when performance conditions have been met.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granted 0 and 77,395 RSUs, respectively, to various employees of the Company, including executive officers. A total of 0 and 1,601 shares of restricted stock unit awards were forfeited 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There were 79,174 and 82,883 unvested RSUs outstanding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respectively. Compensation expense of $429 and $866 was recognized during the year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The tax benefit from compensation expense for the year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related to these service-based awards, was $101 and $203, respectively. The total fair value of restricted stock grants vested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$33 and $1,779, respectively. The weighted average grant date fair value of the unvested awards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was $12.84.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 had $350 of unrecognized compensation expense related to RSUs which will be recognized over the next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 ENGINEERING AND DEVELOPMENT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Engineering and development costs include research and development expenses for new products, development and major improvements to existing products, and other costs for ongoing efforts to refine existing products. Research and development costs charged to operations totaled $2,856 and $2,699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Total engineering and development costs were $13,441 and $12,236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and are primarily recorded within marketing, engineering and administrative expenses on the consolidated statements of operations and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 PENSION AND OTHER POSTRETIREMENT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has non-contributory, qualified defined benefit pension plans covering substantially all domestic employees hired prior to </w:t>
      </w:r>
      <w:r>
        <w:rPr>
          <w:rStyle w:val="Emphasis"/>
          <w:rFonts w:ascii="Times New Roman" w:hAnsi="Times New Roman"/>
          <w:caps w:val="false"/>
          <w:smallCaps w:val="false"/>
          <w:sz w:val="20"/>
        </w:rPr>
        <w:t xml:space="preserve">October 1, 2003, </w:t>
      </w:r>
      <w:r>
        <w:rPr>
          <w:rFonts w:ascii="Times New Roman" w:hAnsi="Times New Roman"/>
          <w:caps w:val="false"/>
          <w:smallCaps w:val="false"/>
          <w:sz w:val="20"/>
        </w:rPr>
        <w:t xml:space="preserve">and certain foreign employees. Domestic plan benefits are based on years of service, and, for salaried employees, on average compensation for benefits earned prior to </w:t>
      </w:r>
      <w:r>
        <w:rPr>
          <w:rStyle w:val="Emphasis"/>
          <w:rFonts w:ascii="Times New Roman" w:hAnsi="Times New Roman"/>
          <w:caps w:val="false"/>
          <w:smallCaps w:val="false"/>
          <w:sz w:val="20"/>
        </w:rPr>
        <w:t xml:space="preserve">January 1, 1997, </w:t>
      </w:r>
      <w:r>
        <w:rPr>
          <w:rFonts w:ascii="Times New Roman" w:hAnsi="Times New Roman"/>
          <w:caps w:val="false"/>
          <w:smallCaps w:val="false"/>
          <w:sz w:val="20"/>
        </w:rPr>
        <w:t xml:space="preserve">and on a cash balance plan for benefits earned from </w:t>
      </w:r>
      <w:r>
        <w:rPr>
          <w:rStyle w:val="Emphasis"/>
          <w:rFonts w:ascii="Times New Roman" w:hAnsi="Times New Roman"/>
          <w:caps w:val="false"/>
          <w:smallCaps w:val="false"/>
          <w:sz w:val="20"/>
        </w:rPr>
        <w:t xml:space="preserve">January 1, 1997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July 31, 2009, </w:t>
      </w:r>
      <w:r>
        <w:rPr>
          <w:rFonts w:ascii="Times New Roman" w:hAnsi="Times New Roman"/>
          <w:caps w:val="false"/>
          <w:smallCaps w:val="false"/>
          <w:sz w:val="20"/>
        </w:rPr>
        <w:t>at which time the Company froze future accruals under domestic defined benefit pension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the Company has unfunded, non-qualified retirement plans for certain management employees and Directors. In the case of management employees, benefits are based on an annual credit to a bookkeeping account, intended to restore the benefits that would have been earned under the qualified plans, but for the earnings limitations under the Internal Revenue Code. In the case of Directors, benefits are based on years of service on the Board. All benefits vest upon retirement from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addition to providing pension benefits, the Company provides other postretirement benefits, including healthcare and life insurance benefits for certain domestic retirees. All employees retiring after </w:t>
      </w:r>
      <w:r>
        <w:rPr>
          <w:rStyle w:val="Emphasis"/>
          <w:rFonts w:ascii="Times New Roman" w:hAnsi="Times New Roman"/>
          <w:caps w:val="false"/>
          <w:smallCaps w:val="false"/>
          <w:sz w:val="20"/>
        </w:rPr>
        <w:t xml:space="preserve">December 31, 1992, </w:t>
      </w:r>
      <w:r>
        <w:rPr>
          <w:rFonts w:ascii="Times New Roman" w:hAnsi="Times New Roman"/>
          <w:caps w:val="false"/>
          <w:smallCaps w:val="false"/>
          <w:sz w:val="20"/>
        </w:rPr>
        <w:t>and electing to continue healthcare coverage through the Company's group plan, are required to pay 100% of the premium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The measurement date for the Company’s pension and postretirement benefit plans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w:t>
      </w:r>
      <w:r>
        <w:rPr>
          <w:rStyle w:val="Emphasis"/>
          <w:rFonts w:ascii="Times New Roman" w:hAnsi="Times New Roman"/>
          <w:caps w:val="false"/>
          <w:smallCaps w:val="false"/>
          <w:sz w:val="20"/>
        </w:rPr>
        <w:t>June 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Obligations and Funded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following table sets forth the Company's defined benefit pension plans’ and other postretirement benefit plans’ funded status and the amounts recognized in the Company's balance sheets and statement of operations and comprehensive income as of </w:t>
      </w:r>
      <w:r>
        <w:rPr>
          <w:rStyle w:val="Emphasis"/>
          <w:rFonts w:ascii="Times New Roman" w:hAnsi="Times New Roman"/>
          <w:caps w:val="false"/>
          <w:smallCaps w:val="false"/>
          <w:sz w:val="20"/>
        </w:rPr>
        <w:t>June 30: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78"/>
        <w:gridCol w:w="90"/>
        <w:gridCol w:w="189"/>
        <w:gridCol w:w="891"/>
        <w:gridCol w:w="80"/>
        <w:gridCol w:w="60"/>
        <w:gridCol w:w="125"/>
        <w:gridCol w:w="590"/>
        <w:gridCol w:w="80"/>
        <w:gridCol w:w="60"/>
        <w:gridCol w:w="125"/>
        <w:gridCol w:w="545"/>
        <w:gridCol w:w="80"/>
        <w:gridCol w:w="60"/>
        <w:gridCol w:w="125"/>
        <w:gridCol w:w="545"/>
        <w:gridCol w:w="82"/>
      </w:tblGrid>
      <w:tr>
        <w:trPr/>
        <w:tc>
          <w:tcPr>
            <w:tcW w:w="64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2" w:type="dxa"/>
            <w:tcBorders/>
            <w:vAlign w:val="center"/>
          </w:tcPr>
          <w:p>
            <w:pPr>
              <w:pStyle w:val="TableContents"/>
              <w:bidi w:val="0"/>
              <w:spacing w:before="0" w:after="283"/>
              <w:jc w:val="left"/>
              <w:rPr/>
            </w:pPr>
            <w:r>
              <w:rPr/>
              <w:t> </w:t>
            </w:r>
          </w:p>
        </w:tc>
      </w:tr>
      <w:tr>
        <w:trPr/>
        <w:tc>
          <w:tcPr>
            <w:tcW w:w="64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935" w:type="dxa"/>
            <w:gridSpan w:val="6"/>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Pension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0" w:type="dxa"/>
            <w:gridSpan w:val="6"/>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Postretirement</w:t>
            </w:r>
          </w:p>
        </w:tc>
        <w:tc>
          <w:tcPr>
            <w:tcW w:w="82" w:type="dxa"/>
            <w:tcBorders/>
            <w:vAlign w:val="center"/>
          </w:tcPr>
          <w:p>
            <w:pPr>
              <w:pStyle w:val="TableContents"/>
              <w:bidi w:val="0"/>
              <w:spacing w:before="0" w:after="283"/>
              <w:jc w:val="left"/>
              <w:rPr/>
            </w:pPr>
            <w:r>
              <w:rPr/>
              <w:t> </w:t>
            </w:r>
          </w:p>
        </w:tc>
      </w:tr>
      <w:tr>
        <w:trPr/>
        <w:tc>
          <w:tcPr>
            <w:tcW w:w="64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935"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Benefits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Benefits</w:t>
            </w:r>
          </w:p>
        </w:tc>
        <w:tc>
          <w:tcPr>
            <w:tcW w:w="82" w:type="dxa"/>
            <w:tcBorders/>
            <w:vAlign w:val="center"/>
          </w:tcPr>
          <w:p>
            <w:pPr>
              <w:pStyle w:val="TableContents"/>
              <w:bidi w:val="0"/>
              <w:spacing w:before="0" w:after="283"/>
              <w:jc w:val="left"/>
              <w:rPr/>
            </w:pPr>
            <w:r>
              <w:rPr/>
              <w:t> </w:t>
            </w:r>
          </w:p>
        </w:tc>
      </w:tr>
      <w:tr>
        <w:trPr/>
        <w:tc>
          <w:tcPr>
            <w:tcW w:w="64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2" w:type="dxa"/>
            <w:tcBorders/>
            <w:vAlign w:val="center"/>
          </w:tcPr>
          <w:p>
            <w:pPr>
              <w:pStyle w:val="TableContents"/>
              <w:bidi w:val="0"/>
              <w:spacing w:before="0" w:after="283"/>
              <w:jc w:val="left"/>
              <w:rPr/>
            </w:pPr>
            <w:r>
              <w:rPr/>
              <w:t> </w:t>
            </w:r>
          </w:p>
        </w:tc>
      </w:tr>
      <w:tr>
        <w:trPr/>
        <w:tc>
          <w:tcPr>
            <w:tcW w:w="647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in benefit obligation:</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47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 obligation, beginning of year</w:t>
            </w:r>
          </w:p>
        </w:tc>
        <w:tc>
          <w:tcPr>
            <w:tcW w:w="9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3,169</w:t>
            </w:r>
          </w:p>
        </w:tc>
        <w:tc>
          <w:tcPr>
            <w:tcW w:w="82" w:type="dxa"/>
            <w:tcBorders/>
            <w:shd w:fill="FFFFFF" w:val="clear"/>
            <w:vAlign w:val="center"/>
          </w:tcPr>
          <w:p>
            <w:pPr>
              <w:pStyle w:val="TableContents"/>
              <w:bidi w:val="0"/>
              <w:spacing w:before="0" w:after="283"/>
              <w:jc w:val="left"/>
              <w:rPr/>
            </w:pPr>
            <w:r>
              <w:rPr/>
              <w:t> </w:t>
            </w:r>
          </w:p>
        </w:tc>
      </w:tr>
      <w:tr>
        <w:trPr/>
        <w:tc>
          <w:tcPr>
            <w:tcW w:w="647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cost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2" w:type="dxa"/>
            <w:tcBorders/>
            <w:shd w:fill="CCEEFF" w:val="clear"/>
            <w:vAlign w:val="center"/>
          </w:tcPr>
          <w:p>
            <w:pPr>
              <w:pStyle w:val="TableContents"/>
              <w:bidi w:val="0"/>
              <w:spacing w:before="0" w:after="283"/>
              <w:jc w:val="left"/>
              <w:rPr/>
            </w:pPr>
            <w:r>
              <w:rPr/>
              <w:t> </w:t>
            </w:r>
          </w:p>
        </w:tc>
      </w:tr>
      <w:tr>
        <w:trPr/>
        <w:tc>
          <w:tcPr>
            <w:tcW w:w="647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cost</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2" w:type="dxa"/>
            <w:tcBorders/>
            <w:shd w:fill="FFFFFF" w:val="clear"/>
            <w:vAlign w:val="center"/>
          </w:tcPr>
          <w:p>
            <w:pPr>
              <w:pStyle w:val="TableContents"/>
              <w:bidi w:val="0"/>
              <w:spacing w:before="0" w:after="283"/>
              <w:jc w:val="left"/>
              <w:rPr/>
            </w:pPr>
            <w:r>
              <w:rPr/>
              <w:t> </w:t>
            </w:r>
          </w:p>
        </w:tc>
      </w:tr>
      <w:tr>
        <w:trPr/>
        <w:tc>
          <w:tcPr>
            <w:tcW w:w="647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 service cost (benefit)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647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Actuarial loss (gain)</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2" w:type="dxa"/>
            <w:tcBorders/>
            <w:shd w:fill="FFFFFF" w:val="clear"/>
            <w:vAlign w:val="center"/>
          </w:tcPr>
          <w:p>
            <w:pPr>
              <w:pStyle w:val="TableContents"/>
              <w:bidi w:val="0"/>
              <w:spacing w:before="0" w:after="283"/>
              <w:jc w:val="left"/>
              <w:rPr/>
            </w:pPr>
            <w:r>
              <w:rPr/>
              <w:t> </w:t>
            </w:r>
          </w:p>
        </w:tc>
      </w:tr>
      <w:tr>
        <w:trPr/>
        <w:tc>
          <w:tcPr>
            <w:tcW w:w="647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Contributions by plan participants</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82" w:type="dxa"/>
            <w:tcBorders/>
            <w:shd w:fill="CCEEFF" w:val="clear"/>
            <w:vAlign w:val="center"/>
          </w:tcPr>
          <w:p>
            <w:pPr>
              <w:pStyle w:val="TableContents"/>
              <w:bidi w:val="0"/>
              <w:spacing w:before="0" w:after="283"/>
              <w:jc w:val="left"/>
              <w:rPr/>
            </w:pPr>
            <w:r>
              <w:rPr/>
              <w:t> </w:t>
            </w:r>
          </w:p>
        </w:tc>
      </w:tr>
      <w:tr>
        <w:trPr/>
        <w:tc>
          <w:tcPr>
            <w:tcW w:w="647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Benefits paid</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 obligation, end of year</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2,870</w:t>
            </w:r>
          </w:p>
        </w:tc>
        <w:tc>
          <w:tcPr>
            <w:tcW w:w="82" w:type="dxa"/>
            <w:tcBorders/>
            <w:shd w:fill="CCEEFF" w:val="clear"/>
            <w:vAlign w:val="center"/>
          </w:tcPr>
          <w:p>
            <w:pPr>
              <w:pStyle w:val="TableContents"/>
              <w:bidi w:val="0"/>
              <w:spacing w:before="0" w:after="283"/>
              <w:jc w:val="left"/>
              <w:rPr/>
            </w:pPr>
            <w:r>
              <w:rPr/>
              <w:t> </w:t>
            </w:r>
          </w:p>
        </w:tc>
      </w:tr>
      <w:tr>
        <w:trPr/>
        <w:tc>
          <w:tcPr>
            <w:tcW w:w="6478"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647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in plan assets:</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47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assets, beginning of year</w:t>
            </w:r>
          </w:p>
        </w:tc>
        <w:tc>
          <w:tcPr>
            <w:tcW w:w="9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647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Actual return on plan assets</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647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plan assets</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(1,808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rStyle w:val="Emphasis"/>
              </w:rPr>
              <w:t> </w:t>
            </w:r>
          </w:p>
        </w:tc>
        <w:tc>
          <w:tcPr>
            <w:tcW w:w="82" w:type="dxa"/>
            <w:tcBorders/>
            <w:shd w:fill="FFFFFF" w:val="clear"/>
            <w:vAlign w:val="center"/>
          </w:tcPr>
          <w:p>
            <w:pPr>
              <w:pStyle w:val="TableContents"/>
              <w:bidi w:val="0"/>
              <w:spacing w:before="0" w:after="283"/>
              <w:jc w:val="left"/>
              <w:rPr/>
            </w:pPr>
            <w:r>
              <w:rPr/>
              <w:t> </w:t>
            </w:r>
          </w:p>
        </w:tc>
      </w:tr>
      <w:tr>
        <w:trPr/>
        <w:tc>
          <w:tcPr>
            <w:tcW w:w="647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Employer contribution</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w:t>
            </w:r>
          </w:p>
        </w:tc>
        <w:tc>
          <w:tcPr>
            <w:tcW w:w="82" w:type="dxa"/>
            <w:tcBorders/>
            <w:shd w:fill="CCEEFF" w:val="clear"/>
            <w:vAlign w:val="center"/>
          </w:tcPr>
          <w:p>
            <w:pPr>
              <w:pStyle w:val="TableContents"/>
              <w:bidi w:val="0"/>
              <w:spacing w:before="0" w:after="283"/>
              <w:jc w:val="left"/>
              <w:rPr/>
            </w:pPr>
            <w:r>
              <w:rPr/>
              <w:t> </w:t>
            </w:r>
          </w:p>
        </w:tc>
      </w:tr>
      <w:tr>
        <w:trPr/>
        <w:tc>
          <w:tcPr>
            <w:tcW w:w="647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Contributions by plan participants</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82" w:type="dxa"/>
            <w:tcBorders/>
            <w:shd w:fill="FFFFFF" w:val="clear"/>
            <w:vAlign w:val="center"/>
          </w:tcPr>
          <w:p>
            <w:pPr>
              <w:pStyle w:val="TableContents"/>
              <w:bidi w:val="0"/>
              <w:spacing w:before="0" w:after="283"/>
              <w:jc w:val="left"/>
              <w:rPr/>
            </w:pPr>
            <w:r>
              <w:rPr/>
              <w:t> </w:t>
            </w:r>
          </w:p>
        </w:tc>
      </w:tr>
      <w:tr>
        <w:trPr/>
        <w:tc>
          <w:tcPr>
            <w:tcW w:w="647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Benefits paid</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assets, end of year</w:t>
            </w:r>
          </w:p>
        </w:tc>
        <w:tc>
          <w:tcPr>
            <w:tcW w:w="90" w:type="dxa"/>
            <w:tcBorders/>
            <w:shd w:fill="FFFFFF" w:val="clear"/>
            <w:vAlign w:val="center"/>
          </w:tcPr>
          <w:p>
            <w:pPr>
              <w:pStyle w:val="TableContents"/>
              <w:bidi w:val="0"/>
              <w:spacing w:before="0" w:after="283"/>
              <w:ind w:left="0" w:right="0" w:hanging="0"/>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647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47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Funded status</w:t>
            </w:r>
          </w:p>
        </w:tc>
        <w:tc>
          <w:tcPr>
            <w:tcW w:w="9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(2,870</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47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recognized in the balance sheet consist of:</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647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 noncurrent</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647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 - current</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retirement benefits - noncurrent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(2,633</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amount recognized</w:t>
            </w:r>
          </w:p>
        </w:tc>
        <w:tc>
          <w:tcPr>
            <w:tcW w:w="9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(2,870</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648" w:type="dxa"/>
            <w:gridSpan w:val="4"/>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Amounts recognized in accumulated other comprehensive income (loss) consist of (net of tax):</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rStyle w:val="Emphasis"/>
              </w:rPr>
              <w:t> </w:t>
            </w:r>
          </w:p>
        </w:tc>
        <w:tc>
          <w:tcPr>
            <w:tcW w:w="82" w:type="dxa"/>
            <w:tcBorders/>
            <w:shd w:fill="FFFFFF" w:val="clear"/>
            <w:vAlign w:val="center"/>
          </w:tcPr>
          <w:p>
            <w:pPr>
              <w:pStyle w:val="TableContents"/>
              <w:bidi w:val="0"/>
              <w:spacing w:before="0" w:after="283"/>
              <w:jc w:val="left"/>
              <w:rPr/>
            </w:pPr>
            <w:r>
              <w:rPr/>
              <w:t> </w:t>
            </w:r>
          </w:p>
        </w:tc>
      </w:tr>
      <w:tr>
        <w:trPr/>
        <w:tc>
          <w:tcPr>
            <w:tcW w:w="647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transition obligation</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647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 service benefit</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647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Actuarial net loss (gain)</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amount recognized</w:t>
            </w:r>
          </w:p>
        </w:tc>
        <w:tc>
          <w:tcPr>
            <w:tcW w:w="9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amounts in accumulated other comprehensive income (loss) that are expected to be recognized as components of net periodic benefit cost during the next fiscal year for the qualified defined benefit and other postretirement benefit plans are as follows:</w:t>
      </w:r>
    </w:p>
    <w:p>
      <w:pPr>
        <w:pStyle w:val="TextBody"/>
        <w:bidi w:val="0"/>
        <w:spacing w:before="0" w:after="0"/>
        <w:ind w:left="0" w:right="0" w:hanging="0"/>
        <w:jc w:val="left"/>
        <w:rPr>
          <w:caps w:val="false"/>
          <w:smallCaps w:val="false"/>
        </w:rPr>
      </w:pPr>
      <w:r>
        <w:rPr>
          <w:caps w:val="false"/>
          <w:smallCaps w:val="false"/>
        </w:rPr>
        <w:t> </w:t>
      </w:r>
    </w:p>
    <w:tbl>
      <w:tblPr>
        <w:tblW w:w="4550" w:type="dxa"/>
        <w:jc w:val="left"/>
        <w:tblInd w:w="0" w:type="dxa"/>
        <w:tblLayout w:type="fixed"/>
        <w:tblCellMar>
          <w:top w:w="0" w:type="dxa"/>
          <w:left w:w="0" w:type="dxa"/>
          <w:bottom w:w="0" w:type="dxa"/>
          <w:right w:w="0" w:type="dxa"/>
        </w:tblCellMar>
      </w:tblPr>
      <w:tblGrid>
        <w:gridCol w:w="2360"/>
        <w:gridCol w:w="60"/>
        <w:gridCol w:w="188"/>
        <w:gridCol w:w="507"/>
        <w:gridCol w:w="60"/>
        <w:gridCol w:w="60"/>
        <w:gridCol w:w="371"/>
        <w:gridCol w:w="864"/>
        <w:gridCol w:w="8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Pension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Postretirement</w:t>
            </w:r>
          </w:p>
        </w:tc>
        <w:tc>
          <w:tcPr>
            <w:tcW w:w="8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Benefits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Benefits</w:t>
            </w:r>
          </w:p>
        </w:tc>
        <w:tc>
          <w:tcPr>
            <w:tcW w:w="8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transition obligation</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 service cost (benefit)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Actuarial net loss (gain)</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amount to be recognized</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accumulated benefit obligation for all defined benefit pension plans was approximately $62,173 and $66,424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for pension plans with an accumulated benefit obligation in excess of plan assets</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3725"/>
        <w:gridCol w:w="60"/>
        <w:gridCol w:w="125"/>
        <w:gridCol w:w="590"/>
        <w:gridCol w:w="60"/>
        <w:gridCol w:w="60"/>
        <w:gridCol w:w="125"/>
        <w:gridCol w:w="590"/>
        <w:gridCol w:w="60"/>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Projected and accumulated benefit obligation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62,355</w:t>
            </w:r>
          </w:p>
        </w:tc>
        <w:tc>
          <w:tcPr>
            <w:tcW w:w="6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plan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52,776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Components of Net Periodic Benefit Cost (Income):</w:t>
      </w:r>
    </w:p>
    <w:p>
      <w:pPr>
        <w:pStyle w:val="TextBody"/>
        <w:bidi w:val="0"/>
        <w:spacing w:before="0" w:after="0"/>
        <w:ind w:left="0" w:right="0" w:hanging="0"/>
        <w:jc w:val="left"/>
        <w:rPr>
          <w:caps w:val="false"/>
          <w:smallCaps w:val="false"/>
        </w:rPr>
      </w:pPr>
      <w:r>
        <w:rPr>
          <w:caps w:val="false"/>
          <w:smallCaps w:val="false"/>
        </w:rPr>
        <w:t> </w:t>
      </w:r>
    </w:p>
    <w:tbl>
      <w:tblPr>
        <w:tblW w:w="4655" w:type="dxa"/>
        <w:jc w:val="left"/>
        <w:tblInd w:w="0" w:type="dxa"/>
        <w:tblLayout w:type="fixed"/>
        <w:tblCellMar>
          <w:top w:w="0" w:type="dxa"/>
          <w:left w:w="0" w:type="dxa"/>
          <w:bottom w:w="0" w:type="dxa"/>
          <w:right w:w="0" w:type="dxa"/>
        </w:tblCellMar>
      </w:tblPr>
      <w:tblGrid>
        <w:gridCol w:w="3035"/>
        <w:gridCol w:w="60"/>
        <w:gridCol w:w="125"/>
        <w:gridCol w:w="545"/>
        <w:gridCol w:w="80"/>
        <w:gridCol w:w="60"/>
        <w:gridCol w:w="125"/>
        <w:gridCol w:w="545"/>
        <w:gridCol w:w="80"/>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Pension Benefits</w:t>
            </w:r>
          </w:p>
        </w:tc>
        <w:tc>
          <w:tcPr>
            <w:tcW w:w="8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cost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w:t>
            </w:r>
          </w:p>
        </w:tc>
        <w:tc>
          <w:tcPr>
            <w:tcW w:w="8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cost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w:t>
            </w:r>
          </w:p>
        </w:tc>
        <w:tc>
          <w:tcPr>
            <w:tcW w:w="8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 service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return on plan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transition obligation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prior service cost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actuarial net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w:t>
            </w:r>
          </w:p>
        </w:tc>
        <w:tc>
          <w:tcPr>
            <w:tcW w:w="8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periodic benefit cost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921" w:type="dxa"/>
        <w:jc w:val="left"/>
        <w:tblInd w:w="0" w:type="dxa"/>
        <w:tblLayout w:type="fixed"/>
        <w:tblCellMar>
          <w:top w:w="0" w:type="dxa"/>
          <w:left w:w="0" w:type="dxa"/>
          <w:bottom w:w="0" w:type="dxa"/>
          <w:right w:w="0" w:type="dxa"/>
        </w:tblCellMar>
      </w:tblPr>
      <w:tblGrid>
        <w:gridCol w:w="3245"/>
        <w:gridCol w:w="60"/>
        <w:gridCol w:w="281"/>
        <w:gridCol w:w="758"/>
        <w:gridCol w:w="180"/>
        <w:gridCol w:w="134"/>
        <w:gridCol w:w="281"/>
        <w:gridCol w:w="902"/>
        <w:gridCol w:w="80"/>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Postretirement Benefits</w:t>
            </w:r>
          </w:p>
        </w:tc>
        <w:tc>
          <w:tcPr>
            <w:tcW w:w="8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ind w:left="0" w:right="0" w:hanging="0"/>
              <w:jc w:val="left"/>
              <w:rPr/>
            </w:pPr>
            <w:r>
              <w:rPr/>
              <w:t> </w:t>
            </w:r>
          </w:p>
        </w:tc>
        <w:tc>
          <w:tcPr>
            <w:tcW w:w="11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8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2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cost</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18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prior service cost</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actuarial net loss (gain)</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4" w:type="dxa"/>
            <w:tcBorders/>
            <w:shd w:fill="FFFFFF" w:val="clear"/>
            <w:vAlign w:val="center"/>
          </w:tcPr>
          <w:p>
            <w:pPr>
              <w:pStyle w:val="TableContents"/>
              <w:bidi w:val="0"/>
              <w:spacing w:before="0" w:after="283"/>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periodic benefit cost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18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2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Other Changes in Plan Assets and Benefit Obligations Recognized in Other Comprehensive Income (Loss) for Fiscal </w:t>
      </w:r>
      <w:r>
        <w:rPr>
          <w:rStyle w:val="Emphasis"/>
          <w:rFonts w:ascii="Times New Roman" w:hAnsi="Times New Roman"/>
          <w:b/>
          <w:caps w:val="false"/>
          <w:smallCaps w:val="false"/>
          <w:sz w:val="20"/>
        </w:rPr>
        <w:t>2026</w:t>
      </w:r>
      <w:r>
        <w:rPr>
          <w:rFonts w:ascii="Times New Roman" w:hAnsi="Times New Roman"/>
          <w:b/>
          <w:caps w:val="false"/>
          <w:smallCaps w:val="false"/>
          <w:sz w:val="20"/>
        </w:rPr>
        <w:t xml:space="preserve"> (Pre-tax):</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7595"/>
        <w:gridCol w:w="60"/>
        <w:gridCol w:w="126"/>
        <w:gridCol w:w="554"/>
        <w:gridCol w:w="80"/>
        <w:gridCol w:w="60"/>
        <w:gridCol w:w="345"/>
        <w:gridCol w:w="935"/>
        <w:gridCol w:w="80"/>
      </w:tblGrid>
      <w:tr>
        <w:trPr/>
        <w:tc>
          <w:tcPr>
            <w:tcW w:w="7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r>
      <w:tr>
        <w:trPr/>
        <w:tc>
          <w:tcPr>
            <w:tcW w:w="7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Postretirement</w:t>
            </w:r>
          </w:p>
        </w:tc>
        <w:tc>
          <w:tcPr>
            <w:tcW w:w="80" w:type="dxa"/>
            <w:tcBorders/>
            <w:vAlign w:val="center"/>
          </w:tcPr>
          <w:p>
            <w:pPr>
              <w:pStyle w:val="TableContents"/>
              <w:bidi w:val="0"/>
              <w:spacing w:before="0" w:after="283"/>
              <w:jc w:val="left"/>
              <w:rPr/>
            </w:pPr>
            <w:r>
              <w:rPr/>
              <w:t> </w:t>
            </w:r>
          </w:p>
        </w:tc>
      </w:tr>
      <w:tr>
        <w:trPr/>
        <w:tc>
          <w:tcPr>
            <w:tcW w:w="7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Pension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Benefits</w:t>
            </w:r>
          </w:p>
        </w:tc>
        <w:tc>
          <w:tcPr>
            <w:tcW w:w="80" w:type="dxa"/>
            <w:tcBorders/>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(gain)</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transition asset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prior service cost (benefit)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net loss (gain)</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Translation</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recognized in other comprehensive income (loss)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periodic benefit cost (income)</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recognized in net periodic benefit cost (income) and other comprehensive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 xml:space="preserve">Other Changes in Plan Assets and Benefit Obligations Recognized in Other Comprehensive Loss for Fiscal </w:t>
      </w:r>
      <w:r>
        <w:rPr>
          <w:rStyle w:val="Emphasis"/>
          <w:rFonts w:ascii="Times New Roman" w:hAnsi="Times New Roman"/>
          <w:b/>
          <w:caps w:val="false"/>
          <w:smallCaps w:val="false"/>
          <w:sz w:val="20"/>
        </w:rPr>
        <w:t>2025</w:t>
      </w:r>
      <w:r>
        <w:rPr>
          <w:rFonts w:ascii="Times New Roman" w:hAnsi="Times New Roman"/>
          <w:b/>
          <w:caps w:val="false"/>
          <w:smallCaps w:val="false"/>
          <w:sz w:val="20"/>
        </w:rPr>
        <w:t xml:space="preserve"> (Pre-tax):</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7595"/>
        <w:gridCol w:w="60"/>
        <w:gridCol w:w="139"/>
        <w:gridCol w:w="541"/>
        <w:gridCol w:w="80"/>
        <w:gridCol w:w="60"/>
        <w:gridCol w:w="345"/>
        <w:gridCol w:w="935"/>
        <w:gridCol w:w="80"/>
      </w:tblGrid>
      <w:tr>
        <w:trPr/>
        <w:tc>
          <w:tcPr>
            <w:tcW w:w="7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r>
      <w:tr>
        <w:trPr/>
        <w:tc>
          <w:tcPr>
            <w:tcW w:w="7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Postretirement</w:t>
            </w:r>
          </w:p>
        </w:tc>
        <w:tc>
          <w:tcPr>
            <w:tcW w:w="80" w:type="dxa"/>
            <w:tcBorders/>
            <w:vAlign w:val="center"/>
          </w:tcPr>
          <w:p>
            <w:pPr>
              <w:pStyle w:val="TableContents"/>
              <w:bidi w:val="0"/>
              <w:spacing w:before="0" w:after="283"/>
              <w:jc w:val="left"/>
              <w:rPr/>
            </w:pPr>
            <w:r>
              <w:rPr/>
              <w:t> </w:t>
            </w:r>
          </w:p>
        </w:tc>
      </w:tr>
      <w:tr>
        <w:trPr/>
        <w:tc>
          <w:tcPr>
            <w:tcW w:w="7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Pension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Benefits</w:t>
            </w:r>
          </w:p>
        </w:tc>
        <w:tc>
          <w:tcPr>
            <w:tcW w:w="80" w:type="dxa"/>
            <w:tcBorders/>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transition asset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prior service cost (benefit)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net loss (gain)</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8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Translation</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recognized in other comprehensive income (loss)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80"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periodic benefit cost (income)</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recognized in net periodic benefit cost (income) and other comprehensive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Assumptions </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44"/>
        <w:gridCol w:w="60"/>
        <w:gridCol w:w="73"/>
        <w:gridCol w:w="469"/>
        <w:gridCol w:w="228"/>
        <w:gridCol w:w="73"/>
        <w:gridCol w:w="73"/>
        <w:gridCol w:w="469"/>
        <w:gridCol w:w="185"/>
        <w:gridCol w:w="60"/>
        <w:gridCol w:w="105"/>
        <w:gridCol w:w="668"/>
        <w:gridCol w:w="325"/>
        <w:gridCol w:w="105"/>
        <w:gridCol w:w="105"/>
        <w:gridCol w:w="671"/>
        <w:gridCol w:w="192"/>
      </w:tblGrid>
      <w:tr>
        <w:trPr/>
        <w:tc>
          <w:tcPr>
            <w:tcW w:w="63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center"/>
              <w:rPr/>
            </w:pPr>
            <w:r>
              <w:rPr/>
              <w:t> </w:t>
            </w:r>
          </w:p>
        </w:tc>
        <w:tc>
          <w:tcPr>
            <w:tcW w:w="22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79"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192" w:type="dxa"/>
            <w:tcBorders/>
            <w:vAlign w:val="center"/>
          </w:tcPr>
          <w:p>
            <w:pPr>
              <w:pStyle w:val="TableContents"/>
              <w:bidi w:val="0"/>
              <w:spacing w:before="0" w:after="283"/>
              <w:jc w:val="left"/>
              <w:rPr/>
            </w:pPr>
            <w:r>
              <w:rPr/>
              <w:t> </w:t>
            </w:r>
          </w:p>
        </w:tc>
      </w:tr>
      <w:tr>
        <w:trPr/>
        <w:tc>
          <w:tcPr>
            <w:tcW w:w="63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Pension Benefits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7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Postretirement Benefits</w:t>
            </w:r>
          </w:p>
        </w:tc>
        <w:tc>
          <w:tcPr>
            <w:tcW w:w="192" w:type="dxa"/>
            <w:tcBorders/>
            <w:vAlign w:val="center"/>
          </w:tcPr>
          <w:p>
            <w:pPr>
              <w:pStyle w:val="TableContents"/>
              <w:bidi w:val="0"/>
              <w:spacing w:before="0" w:after="283"/>
              <w:jc w:val="left"/>
              <w:rPr/>
            </w:pPr>
            <w:r>
              <w:rPr/>
              <w:t> </w:t>
            </w:r>
          </w:p>
        </w:tc>
      </w:tr>
      <w:tr>
        <w:trPr/>
        <w:tc>
          <w:tcPr>
            <w:tcW w:w="634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assumptions used to determine benefit obligations at June 30</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r>
      <w:tr>
        <w:trPr/>
        <w:tc>
          <w:tcPr>
            <w:tcW w:w="63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22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32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92" w:type="dxa"/>
            <w:tcBorders/>
            <w:shd w:fill="FFFFFF" w:val="clear"/>
            <w:vAlign w:val="center"/>
          </w:tcPr>
          <w:p>
            <w:pPr>
              <w:pStyle w:val="TableContents"/>
              <w:bidi w:val="0"/>
              <w:spacing w:before="0" w:after="283"/>
              <w:jc w:val="left"/>
              <w:rPr/>
            </w:pPr>
            <w:r>
              <w:rPr/>
              <w:t> </w:t>
            </w:r>
          </w:p>
        </w:tc>
      </w:tr>
      <w:tr>
        <w:trPr/>
        <w:tc>
          <w:tcPr>
            <w:tcW w:w="63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Discount rate</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w:t>
            </w:r>
          </w:p>
        </w:tc>
        <w:tc>
          <w:tcPr>
            <w:tcW w:w="2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6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p>
        </w:tc>
        <w:tc>
          <w:tcPr>
            <w:tcW w:w="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6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w:t>
            </w:r>
          </w:p>
        </w:tc>
        <w:tc>
          <w:tcPr>
            <w:tcW w:w="1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return on plan assets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p>
        </w:tc>
        <w:tc>
          <w:tcPr>
            <w:tcW w:w="2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center"/>
              <w:rPr/>
            </w:pPr>
            <w:r>
              <w:rPr>
                <w:rStyle w:val="Emphasis"/>
              </w:rPr>
              <w:t> </w:t>
            </w:r>
          </w:p>
        </w:tc>
        <w:tc>
          <w:tcPr>
            <w:tcW w:w="32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center"/>
              <w:rPr/>
            </w:pPr>
            <w:r>
              <w:rPr>
                <w:rStyle w:val="Emphasis"/>
              </w:rPr>
              <w:t> </w:t>
            </w:r>
          </w:p>
        </w:tc>
        <w:tc>
          <w:tcPr>
            <w:tcW w:w="19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529"/>
        <w:gridCol w:w="60"/>
        <w:gridCol w:w="71"/>
        <w:gridCol w:w="452"/>
        <w:gridCol w:w="220"/>
        <w:gridCol w:w="71"/>
        <w:gridCol w:w="71"/>
        <w:gridCol w:w="452"/>
        <w:gridCol w:w="185"/>
        <w:gridCol w:w="60"/>
        <w:gridCol w:w="97"/>
        <w:gridCol w:w="623"/>
        <w:gridCol w:w="302"/>
        <w:gridCol w:w="97"/>
        <w:gridCol w:w="97"/>
        <w:gridCol w:w="626"/>
        <w:gridCol w:w="192"/>
      </w:tblGrid>
      <w:tr>
        <w:trPr/>
        <w:tc>
          <w:tcPr>
            <w:tcW w:w="65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center"/>
              <w:rPr/>
            </w:pPr>
            <w:r>
              <w:rPr/>
              <w:t> </w:t>
            </w:r>
          </w:p>
        </w:tc>
        <w:tc>
          <w:tcPr>
            <w:tcW w:w="2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2"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192" w:type="dxa"/>
            <w:tcBorders/>
            <w:vAlign w:val="center"/>
          </w:tcPr>
          <w:p>
            <w:pPr>
              <w:pStyle w:val="TableContents"/>
              <w:bidi w:val="0"/>
              <w:spacing w:before="0" w:after="283"/>
              <w:jc w:val="left"/>
              <w:rPr/>
            </w:pPr>
            <w:r>
              <w:rPr/>
              <w:t> </w:t>
            </w:r>
          </w:p>
        </w:tc>
      </w:tr>
      <w:tr>
        <w:trPr/>
        <w:tc>
          <w:tcPr>
            <w:tcW w:w="65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Pension Benefits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Postretirement Benefits</w:t>
            </w:r>
          </w:p>
        </w:tc>
        <w:tc>
          <w:tcPr>
            <w:tcW w:w="192" w:type="dxa"/>
            <w:tcBorders/>
            <w:vAlign w:val="center"/>
          </w:tcPr>
          <w:p>
            <w:pPr>
              <w:pStyle w:val="TableContents"/>
              <w:bidi w:val="0"/>
              <w:spacing w:before="0" w:after="283"/>
              <w:jc w:val="left"/>
              <w:rPr/>
            </w:pPr>
            <w:r>
              <w:rPr/>
              <w:t> </w:t>
            </w:r>
          </w:p>
        </w:tc>
      </w:tr>
      <w:tr>
        <w:trPr/>
        <w:tc>
          <w:tcPr>
            <w:tcW w:w="6529"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assumptions used to determine net periodic benefit costs for years ended June 30</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r>
      <w:tr>
        <w:trPr/>
        <w:tc>
          <w:tcPr>
            <w:tcW w:w="65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22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30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92" w:type="dxa"/>
            <w:tcBorders/>
            <w:shd w:fill="FFFFFF" w:val="clear"/>
            <w:vAlign w:val="center"/>
          </w:tcPr>
          <w:p>
            <w:pPr>
              <w:pStyle w:val="TableContents"/>
              <w:bidi w:val="0"/>
              <w:spacing w:before="0" w:after="283"/>
              <w:jc w:val="left"/>
              <w:rPr/>
            </w:pPr>
            <w:r>
              <w:rPr/>
              <w:t> </w:t>
            </w:r>
          </w:p>
        </w:tc>
      </w:tr>
      <w:tr>
        <w:trPr/>
        <w:tc>
          <w:tcPr>
            <w:tcW w:w="65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Discount rate</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4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w:t>
            </w:r>
          </w:p>
        </w:tc>
        <w:tc>
          <w:tcPr>
            <w:tcW w:w="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4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w:t>
            </w:r>
          </w:p>
        </w:tc>
        <w:tc>
          <w:tcPr>
            <w:tcW w:w="3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1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return on plan assets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4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p>
        </w:tc>
        <w:tc>
          <w:tcPr>
            <w:tcW w:w="2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4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pPr>
            <w:r>
              <w:rPr>
                <w:rStyle w:val="Emphasis"/>
              </w:rPr>
              <w:t> </w:t>
            </w:r>
          </w:p>
        </w:tc>
        <w:tc>
          <w:tcPr>
            <w:tcW w:w="30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pPr>
            <w:r>
              <w:rPr>
                <w:rStyle w:val="Emphasis"/>
              </w:rPr>
              <w:t> </w:t>
            </w:r>
          </w:p>
        </w:tc>
        <w:tc>
          <w:tcPr>
            <w:tcW w:w="19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assumed weighted-average healthcare cost trend rate was 6.2%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grading down to 3.7% in fiscal </w:t>
      </w:r>
      <w:r>
        <w:rPr>
          <w:rStyle w:val="Emphasis"/>
          <w:rFonts w:ascii="Times New Roman" w:hAnsi="Times New Roman"/>
          <w:caps w:val="false"/>
          <w:smallCaps w:val="false"/>
          <w:sz w:val="20"/>
        </w:rPr>
        <w:t>2073.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Plan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Benefits Committee (“Committee”), a non-board management committee, oversees investment matters related to the Company’s funded benefit plans. The Committee works with external actuaries and investment consultants on an ongoing basis to establish and monitor investment strategies and target asset allocations. The overall objective of the Committee’s investment strategy is to earn a rate of return over time to satisfy the benefit obligations of the pension plans and to maintain sufficient liquidity to pay benefits and address other cash requirements of the pension plans. The Committee has established an Investment Policy Statement which provides written documentation of the Company’s expectations regarding its investment programs for the pension plans, establishes objectives and guidelines for the investment of the plan assets consistent with the Company’s financial and benefit-related goals, and outlines criteria and procedures for the ongoing evaluation of the investment program. The Company employs a total return on investment approach whereby a mix of investments among several asset classes are used to maximize long-term return of plan assets while avoiding excessive risk. Investment risk is measured and monitored on an ongoing basis through quarterly investment portfolio reviews, and annual liability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Company’s pension plan weighted-average asset allocations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by asset category were as follows:</w:t>
      </w:r>
    </w:p>
    <w:p>
      <w:pPr>
        <w:pStyle w:val="TextBody"/>
        <w:bidi w:val="0"/>
        <w:spacing w:before="0" w:after="0"/>
        <w:ind w:left="0" w:right="0" w:hanging="0"/>
        <w:jc w:val="left"/>
        <w:rPr>
          <w:caps w:val="false"/>
          <w:smallCaps w:val="false"/>
        </w:rPr>
      </w:pPr>
      <w:r>
        <w:rPr>
          <w:caps w:val="false"/>
          <w:smallCaps w:val="false"/>
        </w:rPr>
        <w:t> </w:t>
      </w:r>
    </w:p>
    <w:tbl>
      <w:tblPr>
        <w:tblW w:w="3755" w:type="dxa"/>
        <w:jc w:val="left"/>
        <w:tblInd w:w="0" w:type="dxa"/>
        <w:tblLayout w:type="fixed"/>
        <w:tblCellMar>
          <w:top w:w="0" w:type="dxa"/>
          <w:left w:w="0" w:type="dxa"/>
          <w:bottom w:w="0" w:type="dxa"/>
          <w:right w:w="0" w:type="dxa"/>
        </w:tblCellMar>
      </w:tblPr>
      <w:tblGrid>
        <w:gridCol w:w="1385"/>
        <w:gridCol w:w="60"/>
        <w:gridCol w:w="97"/>
        <w:gridCol w:w="793"/>
        <w:gridCol w:w="60"/>
        <w:gridCol w:w="60"/>
        <w:gridCol w:w="60"/>
        <w:gridCol w:w="500"/>
        <w:gridCol w:w="60"/>
        <w:gridCol w:w="60"/>
        <w:gridCol w:w="60"/>
        <w:gridCol w:w="500"/>
        <w:gridCol w:w="60"/>
      </w:tblGrid>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Target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Asset Category</w:t>
            </w:r>
          </w:p>
        </w:tc>
        <w:tc>
          <w:tcPr>
            <w:tcW w:w="60" w:type="dxa"/>
            <w:tcBorders/>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Allocation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securities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0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16%</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0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center"/>
              <w:rPr/>
            </w:pPr>
            <w:r>
              <w:rPr/>
              <w:t> </w:t>
            </w:r>
          </w:p>
        </w:tc>
      </w:tr>
      <w:tr>
        <w:trPr/>
        <w:tc>
          <w:tcPr>
            <w:tcW w:w="13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securities</w:t>
            </w:r>
          </w:p>
        </w:tc>
        <w:tc>
          <w:tcPr>
            <w:tcW w:w="60" w:type="dxa"/>
            <w:tcBorders/>
            <w:shd w:fill="FFFFFF" w:val="clear"/>
            <w:vAlign w:val="center"/>
          </w:tcPr>
          <w:p>
            <w:pPr>
              <w:pStyle w:val="TableContents"/>
              <w:bidi w:val="0"/>
              <w:spacing w:before="0" w:after="283"/>
              <w:jc w:val="center"/>
              <w:rPr/>
            </w:pPr>
            <w:r>
              <w:rPr/>
              <w:t> </w:t>
            </w:r>
          </w:p>
        </w:tc>
        <w:tc>
          <w:tcPr>
            <w:tcW w:w="97" w:type="dxa"/>
            <w:tcBorders/>
            <w:shd w:fill="FFFFFF" w:val="clear"/>
            <w:vAlign w:val="center"/>
          </w:tcPr>
          <w:p>
            <w:pPr>
              <w:pStyle w:val="TableContents"/>
              <w:bidi w:val="0"/>
              <w:spacing w:before="0" w:after="283"/>
              <w:ind w:left="0" w:right="0" w:hanging="0"/>
              <w:jc w:val="center"/>
              <w:rPr/>
            </w:pPr>
            <w:r>
              <w:rPr/>
              <w:t> </w:t>
            </w:r>
          </w:p>
        </w:tc>
        <w:tc>
          <w:tcPr>
            <w:tcW w:w="793"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75%</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0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76%</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0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78%</w:t>
            </w:r>
          </w:p>
        </w:tc>
        <w:tc>
          <w:tcPr>
            <w:tcW w:w="60" w:type="dxa"/>
            <w:tcBorders/>
            <w:shd w:fill="FFFFFF" w:val="clear"/>
            <w:vAlign w:val="center"/>
          </w:tcPr>
          <w:p>
            <w:pPr>
              <w:pStyle w:val="TableContents"/>
              <w:bidi w:val="0"/>
              <w:spacing w:before="0" w:after="283"/>
              <w:jc w:val="center"/>
              <w:rPr/>
            </w:pPr>
            <w:r>
              <w:rPr/>
              <w:t> </w:t>
            </w:r>
          </w:p>
        </w:tc>
      </w:tr>
      <w:tr>
        <w:trPr/>
        <w:tc>
          <w:tcPr>
            <w:tcW w:w="1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 estate</w:t>
            </w:r>
          </w:p>
        </w:tc>
        <w:tc>
          <w:tcPr>
            <w:tcW w:w="60" w:type="dxa"/>
            <w:tcBorders/>
            <w:shd w:fill="CCEEFF" w:val="clear"/>
            <w:vAlign w:val="center"/>
          </w:tcPr>
          <w:p>
            <w:pPr>
              <w:pStyle w:val="TableContents"/>
              <w:bidi w:val="0"/>
              <w:spacing w:before="0" w:after="283"/>
              <w:jc w:val="center"/>
              <w:rPr/>
            </w:pPr>
            <w:r>
              <w:rPr/>
              <w:t> </w:t>
            </w:r>
          </w:p>
        </w:tc>
        <w:tc>
          <w:tcPr>
            <w:tcW w:w="97"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pPr>
            <w:r>
              <w:rPr/>
              <w:t> </w:t>
            </w:r>
          </w:p>
        </w:tc>
        <w:tc>
          <w:tcPr>
            <w:tcW w:w="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pPr>
            <w:r>
              <w:rPr/>
              <w:t> </w:t>
            </w:r>
          </w:p>
        </w:tc>
        <w:tc>
          <w:tcPr>
            <w:tcW w:w="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center"/>
              <w:rPr/>
            </w:pPr>
            <w:r>
              <w:rPr/>
              <w:t> </w:t>
            </w:r>
          </w:p>
        </w:tc>
      </w:tr>
      <w:tr>
        <w:trPr/>
        <w:tc>
          <w:tcPr>
            <w:tcW w:w="1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793" w:type="dxa"/>
            <w:tcBorders>
              <w:bottom w:val="double" w:sz="6" w:space="0" w:color="000000"/>
            </w:tcBorders>
            <w:shd w:fill="FFFFFF" w:val="clear"/>
            <w:tcMar>
              <w:bottom w:w="28"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500" w:type="dxa"/>
            <w:tcBorders>
              <w:bottom w:val="double" w:sz="6" w:space="0" w:color="000000"/>
            </w:tcBorders>
            <w:shd w:fill="FFFFFF" w:val="clear"/>
            <w:tcMar>
              <w:bottom w:w="28"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500" w:type="dxa"/>
            <w:tcBorders>
              <w:bottom w:val="double" w:sz="6" w:space="0" w:color="000000"/>
            </w:tcBorders>
            <w:shd w:fill="FFFFFF" w:val="clear"/>
            <w:tcMar>
              <w:bottom w:w="28"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Due to market conditions and other factors, actual asset allocation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vary from the target allocation outlined above. The U.S. pension plans held 34,211 shares of Company stock with a fair market value of $794 (1.7% of total plan assets)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98,211 shares with a fair market value of $867 (1.7% of total plan assets) at </w:t>
      </w:r>
      <w:r>
        <w:rPr>
          <w:rStyle w:val="Emphasis"/>
          <w:rFonts w:ascii="Times New Roman" w:hAnsi="Times New Roman"/>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U.S. plans have a long-term return assumption of 6.25%. This rate was derived based upon historical experience and forward-looking return expectations for major asset class categories.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is defined as the price that would be received on the sale of an asset or paid to transfer a liability in an orderly transaction between market participants at the measurement date. The inputs used to measure fair value are classified into the following hierarchy:</w:t>
      </w:r>
    </w:p>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710"/>
        <w:gridCol w:w="7745"/>
      </w:tblGrid>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I</w:t>
            </w:r>
          </w:p>
        </w:tc>
        <w:tc>
          <w:tcPr>
            <w:tcW w:w="7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Unadjusted quoted prices in active markets for identical instruments</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II</w:t>
            </w:r>
          </w:p>
        </w:tc>
        <w:tc>
          <w:tcPr>
            <w:tcW w:w="7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Unadjusted quoted prices in active markets for similar instruments, or </w:t>
            </w:r>
          </w:p>
          <w:p>
            <w:pPr>
              <w:pStyle w:val="TableContents"/>
              <w:bidi w:val="0"/>
              <w:spacing w:before="0" w:after="0"/>
              <w:ind w:left="0" w:right="0" w:hanging="0"/>
              <w:jc w:val="left"/>
              <w:rPr/>
            </w:pPr>
            <w:r>
              <w:rPr>
                <w:rFonts w:ascii="Times New Roman" w:hAnsi="Times New Roman"/>
                <w:caps w:val="false"/>
                <w:smallCaps w:val="false"/>
                <w:sz w:val="20"/>
              </w:rPr>
              <w:t xml:space="preserve">Unadjusted quoted prices for identical or similar instruments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active, or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inputs that are observable in the market or can be corroborated by observable market data</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III</w:t>
            </w:r>
          </w:p>
        </w:tc>
        <w:tc>
          <w:tcPr>
            <w:tcW w:w="774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Use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significant unobservable inputs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The following table presents plan assets using the fair value hierarchy as of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tbl>
      <w:tblPr>
        <w:tblW w:w="6912" w:type="dxa"/>
        <w:jc w:val="left"/>
        <w:tblInd w:w="0" w:type="dxa"/>
        <w:tblLayout w:type="fixed"/>
        <w:tblCellMar>
          <w:top w:w="0" w:type="dxa"/>
          <w:left w:w="0" w:type="dxa"/>
          <w:bottom w:w="0" w:type="dxa"/>
          <w:right w:w="0" w:type="dxa"/>
        </w:tblCellMar>
      </w:tblPr>
      <w:tblGrid>
        <w:gridCol w:w="3635"/>
        <w:gridCol w:w="60"/>
        <w:gridCol w:w="125"/>
        <w:gridCol w:w="590"/>
        <w:gridCol w:w="60"/>
        <w:gridCol w:w="60"/>
        <w:gridCol w:w="127"/>
        <w:gridCol w:w="492"/>
        <w:gridCol w:w="60"/>
        <w:gridCol w:w="60"/>
        <w:gridCol w:w="422"/>
        <w:gridCol w:w="272"/>
        <w:gridCol w:w="60"/>
        <w:gridCol w:w="60"/>
        <w:gridCol w:w="157"/>
        <w:gridCol w:w="612"/>
        <w:gridCol w:w="60"/>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III</w:t>
            </w:r>
          </w:p>
        </w:tc>
        <w:tc>
          <w:tcPr>
            <w:tcW w:w="6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Company common stock (a)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ind w:left="0" w:right="0" w:hanging="0"/>
              <w:jc w:val="left"/>
              <w:rPr/>
            </w:pPr>
            <w:r>
              <w:rPr/>
              <w:t> </w:t>
            </w:r>
          </w:p>
        </w:tc>
        <w:tc>
          <w:tcPr>
            <w:tcW w:w="2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4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ind w:left="0" w:right="0" w:hanging="0"/>
              <w:jc w:val="left"/>
              <w:rPr/>
            </w:pPr>
            <w:r>
              <w:rPr/>
              <w:t> </w:t>
            </w:r>
          </w:p>
        </w:tc>
        <w:tc>
          <w:tcPr>
            <w:tcW w:w="2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Mutual funds (b)</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ind w:left="0" w:right="0" w:hanging="0"/>
              <w:jc w:val="left"/>
              <w:rPr/>
            </w:pPr>
            <w:r>
              <w:rPr/>
              <w:t> </w:t>
            </w:r>
          </w:p>
        </w:tc>
        <w:tc>
          <w:tcPr>
            <w:tcW w:w="2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Annuity contracts (c)</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6,423</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6,423</w:t>
            </w:r>
          </w:p>
        </w:tc>
        <w:tc>
          <w:tcPr>
            <w:tcW w:w="6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Measured at Net Asset Value (d)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following table presents plan assets using the fair value hierarchy as of </w:t>
      </w:r>
      <w:r>
        <w:rPr>
          <w:rStyle w:val="Emphasis"/>
          <w:rFonts w:ascii="Times New Roman" w:hAnsi="Times New Roman"/>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tbl>
      <w:tblPr>
        <w:tblW w:w="6912" w:type="dxa"/>
        <w:jc w:val="left"/>
        <w:tblInd w:w="0" w:type="dxa"/>
        <w:tblLayout w:type="fixed"/>
        <w:tblCellMar>
          <w:top w:w="0" w:type="dxa"/>
          <w:left w:w="0" w:type="dxa"/>
          <w:bottom w:w="0" w:type="dxa"/>
          <w:right w:w="0" w:type="dxa"/>
        </w:tblCellMar>
      </w:tblPr>
      <w:tblGrid>
        <w:gridCol w:w="3635"/>
        <w:gridCol w:w="60"/>
        <w:gridCol w:w="125"/>
        <w:gridCol w:w="590"/>
        <w:gridCol w:w="60"/>
        <w:gridCol w:w="60"/>
        <w:gridCol w:w="127"/>
        <w:gridCol w:w="492"/>
        <w:gridCol w:w="60"/>
        <w:gridCol w:w="60"/>
        <w:gridCol w:w="422"/>
        <w:gridCol w:w="272"/>
        <w:gridCol w:w="60"/>
        <w:gridCol w:w="60"/>
        <w:gridCol w:w="157"/>
        <w:gridCol w:w="612"/>
        <w:gridCol w:w="60"/>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III</w:t>
            </w:r>
          </w:p>
        </w:tc>
        <w:tc>
          <w:tcPr>
            <w:tcW w:w="6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Company common stock (a)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ind w:left="0" w:right="0" w:hanging="0"/>
              <w:jc w:val="left"/>
              <w:rPr/>
            </w:pPr>
            <w:r>
              <w:rPr/>
              <w:t> </w:t>
            </w:r>
          </w:p>
        </w:tc>
        <w:tc>
          <w:tcPr>
            <w:tcW w:w="2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4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ind w:left="0" w:right="0" w:hanging="0"/>
              <w:jc w:val="left"/>
              <w:rPr/>
            </w:pPr>
            <w:r>
              <w:rPr/>
              <w:t> </w:t>
            </w:r>
          </w:p>
        </w:tc>
        <w:tc>
          <w:tcPr>
            <w:tcW w:w="2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Mutual funds (b)</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ind w:left="0" w:right="0" w:hanging="0"/>
              <w:jc w:val="left"/>
              <w:rPr/>
            </w:pPr>
            <w:r>
              <w:rPr/>
              <w:t> </w:t>
            </w:r>
          </w:p>
        </w:tc>
        <w:tc>
          <w:tcPr>
            <w:tcW w:w="2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Annuity contracts (c)</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7,080</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7,080</w:t>
            </w:r>
          </w:p>
        </w:tc>
        <w:tc>
          <w:tcPr>
            <w:tcW w:w="6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Measured at Net Asset Value (d)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Common stock is valued at the closing price reported on the active market on which the individual securities are traded. These securities include U.S. equity securities invested in companies that are traded on exchanges inside the U.S. and international equity securities invested in companies that are traded on exchanges outside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Mutual funds are valued at the daily closing price as reported by the fund. Mutual funds held by the Company’s funded benefit plans are open-end mutual funds that are registered with the Securities Exchange Commission. These funds are required to publish their daily net asset value (“NAV”) and to transact at that price. The mutual funds held by the Company’s funded benefit plans are deemed to be actively traded.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Annuity contracts represent contractual agreements in which payments are made to an insurance company, which agrees to pay out an income or lump sum amount at a later date. Annuity contracts are valued at fair value using the net present value of future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 In accordance with ASC </w:t>
      </w:r>
      <w:r>
        <w:rPr>
          <w:rStyle w:val="Emphasis"/>
          <w:rFonts w:ascii="Times New Roman" w:hAnsi="Times New Roman"/>
          <w:caps w:val="false"/>
          <w:smallCaps w:val="false"/>
          <w:sz w:val="20"/>
        </w:rPr>
        <w:t>820</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certain investments that were measured at net asset value per share (or its equivalent)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classified in the fair value hierarchy. The fair value amounts presented in this table are intended to permit reconciliation of the fair value hierarchy to the fair value of plan assets at the end of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following table sets forth additional disclosures for the fair value measurement of the fair value of pension plan assets that calculate fair value based on NAV per share practical expedient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625"/>
        <w:gridCol w:w="60"/>
        <w:gridCol w:w="125"/>
        <w:gridCol w:w="590"/>
        <w:gridCol w:w="60"/>
        <w:gridCol w:w="60"/>
        <w:gridCol w:w="125"/>
        <w:gridCol w:w="590"/>
        <w:gridCol w:w="60"/>
      </w:tblGrid>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Fixed income funds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37,687</w:t>
            </w:r>
          </w:p>
        </w:tc>
        <w:tc>
          <w:tcPr>
            <w:tcW w:w="60"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 estate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3,331</w:t>
            </w:r>
          </w:p>
        </w:tc>
        <w:tc>
          <w:tcPr>
            <w:tcW w:w="60"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41,018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The following tables present a reconciliation of the fair value measurements using significant unobservable inputs (Level III)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3590"/>
        <w:gridCol w:w="60"/>
        <w:gridCol w:w="125"/>
        <w:gridCol w:w="545"/>
        <w:gridCol w:w="80"/>
        <w:gridCol w:w="60"/>
        <w:gridCol w:w="125"/>
        <w:gridCol w:w="485"/>
        <w:gridCol w:w="80"/>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6,264</w:t>
            </w:r>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Actual return on plan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Relating to assets still held at reporting date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w:t>
            </w:r>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sales and settlements,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Contributions</w:t>
      </w:r>
    </w:p>
    <w:p>
      <w:pPr>
        <w:pStyle w:val="TextBody"/>
        <w:bidi w:val="0"/>
        <w:spacing w:before="0" w:after="0"/>
        <w:ind w:left="0" w:right="0" w:hanging="0"/>
        <w:jc w:val="left"/>
        <w:rPr/>
      </w:pPr>
      <w:r>
        <w:rPr>
          <w:rFonts w:ascii="Times New Roman" w:hAnsi="Times New Roman"/>
          <w:caps w:val="false"/>
          <w:smallCaps w:val="false"/>
          <w:sz w:val="20"/>
        </w:rPr>
        <w:t xml:space="preserve">The Company expects to contribute $1,979 to its defined benefit pension plans in fiscal </w:t>
      </w:r>
      <w:r>
        <w:rPr>
          <w:rStyle w:val="Emphasis"/>
          <w:rFonts w:ascii="Times New Roman" w:hAnsi="Times New Roman"/>
          <w:caps w:val="false"/>
          <w:smallCaps w:val="false"/>
          <w:sz w:val="20"/>
        </w:rPr>
        <w:t>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expects to contribute $591 to its other postretirement benefit plans in fiscal </w:t>
      </w:r>
      <w:r>
        <w:rPr>
          <w:rStyle w:val="Emphasis"/>
          <w:rFonts w:ascii="Times New Roman" w:hAnsi="Times New Roman"/>
          <w:caps w:val="false"/>
          <w:smallCaps w:val="false"/>
          <w:sz w:val="20"/>
        </w:rPr>
        <w:t>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Estimated Future Benefit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benefit payments, which reflect expected future service, as appropriate, are expected to be paid:</w:t>
      </w:r>
    </w:p>
    <w:p>
      <w:pPr>
        <w:pStyle w:val="TextBody"/>
        <w:bidi w:val="0"/>
        <w:spacing w:before="0" w:after="0"/>
        <w:ind w:left="0" w:right="0" w:hanging="0"/>
        <w:jc w:val="left"/>
        <w:rPr>
          <w:caps w:val="false"/>
          <w:smallCaps w:val="false"/>
        </w:rPr>
      </w:pPr>
      <w:r>
        <w:rPr>
          <w:caps w:val="false"/>
          <w:smallCaps w:val="false"/>
        </w:rPr>
        <w:t> </w:t>
      </w:r>
    </w:p>
    <w:tbl>
      <w:tblPr>
        <w:tblW w:w="3695" w:type="dxa"/>
        <w:jc w:val="left"/>
        <w:tblInd w:w="0" w:type="dxa"/>
        <w:tblLayout w:type="fixed"/>
        <w:tblCellMar>
          <w:top w:w="0" w:type="dxa"/>
          <w:left w:w="0" w:type="dxa"/>
          <w:bottom w:w="0" w:type="dxa"/>
          <w:right w:w="0" w:type="dxa"/>
        </w:tblCellMar>
      </w:tblPr>
      <w:tblGrid>
        <w:gridCol w:w="1505"/>
        <w:gridCol w:w="60"/>
        <w:gridCol w:w="125"/>
        <w:gridCol w:w="590"/>
        <w:gridCol w:w="60"/>
        <w:gridCol w:w="60"/>
        <w:gridCol w:w="333"/>
        <w:gridCol w:w="902"/>
        <w:gridCol w:w="60"/>
      </w:tblGrid>
      <w:tr>
        <w:trPr/>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Other </w:t>
            </w:r>
          </w:p>
        </w:tc>
        <w:tc>
          <w:tcPr>
            <w:tcW w:w="60"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Pension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Postretirement</w:t>
            </w:r>
          </w:p>
        </w:tc>
        <w:tc>
          <w:tcPr>
            <w:tcW w:w="60"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Benefits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Benefits</w:t>
            </w:r>
          </w:p>
        </w:tc>
        <w:tc>
          <w:tcPr>
            <w:tcW w:w="60"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Years 2032 - 2036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to make any Part D reimbursements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sponsors defined contribution plans covering substantially all domestic employees and certain foreign employees. These plans provide for employer contributions based primarily on employee participation. The total expense under the plans was $2,683 and $2,447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These amounts are recorded in cost of goods sold and marketing, engineering and administration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United States and foreign income (loss) before income taxes and minority interest as of </w:t>
      </w:r>
      <w:r>
        <w:rPr>
          <w:rStyle w:val="Emphasis"/>
          <w:rFonts w:ascii="Times New Roman" w:hAnsi="Times New Roman"/>
          <w:caps w:val="false"/>
          <w:smallCaps w:val="false"/>
          <w:sz w:val="20"/>
        </w:rPr>
        <w:t xml:space="preserve">June 30 </w:t>
      </w:r>
      <w:r>
        <w:rPr>
          <w:rFonts w:ascii="Times New Roman" w:hAnsi="Times New Roman"/>
          <w:caps w:val="false"/>
          <w:smallCaps w:val="false"/>
          <w:sz w:val="20"/>
        </w:rPr>
        <w:t>were as follows:</w:t>
      </w:r>
    </w:p>
    <w:p>
      <w:pPr>
        <w:pStyle w:val="TextBody"/>
        <w:bidi w:val="0"/>
        <w:spacing w:before="0" w:after="0"/>
        <w:ind w:left="0" w:right="0" w:hanging="0"/>
        <w:jc w:val="left"/>
        <w:rPr>
          <w:caps w:val="false"/>
          <w:smallCaps w:val="false"/>
        </w:rPr>
      </w:pPr>
      <w:r>
        <w:rPr>
          <w:caps w:val="false"/>
          <w:smallCaps w:val="false"/>
        </w:rPr>
        <w:t> </w:t>
      </w:r>
    </w:p>
    <w:tbl>
      <w:tblPr>
        <w:tblW w:w="3134" w:type="dxa"/>
        <w:jc w:val="left"/>
        <w:tblInd w:w="0" w:type="dxa"/>
        <w:tblLayout w:type="fixed"/>
        <w:tblCellMar>
          <w:top w:w="0" w:type="dxa"/>
          <w:left w:w="0" w:type="dxa"/>
          <w:bottom w:w="0" w:type="dxa"/>
          <w:right w:w="0" w:type="dxa"/>
        </w:tblCellMar>
      </w:tblPr>
      <w:tblGrid>
        <w:gridCol w:w="1115"/>
        <w:gridCol w:w="60"/>
        <w:gridCol w:w="125"/>
        <w:gridCol w:w="590"/>
        <w:gridCol w:w="80"/>
        <w:gridCol w:w="60"/>
        <w:gridCol w:w="162"/>
        <w:gridCol w:w="847"/>
        <w:gridCol w:w="95"/>
      </w:tblGrid>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Adjusted</w:t>
            </w:r>
          </w:p>
        </w:tc>
        <w:tc>
          <w:tcPr>
            <w:tcW w:w="9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14,098</w:t>
            </w:r>
          </w:p>
        </w:tc>
        <w:tc>
          <w:tcPr>
            <w:tcW w:w="95" w:type="dxa"/>
            <w:tcBorders/>
            <w:shd w:fill="FFFFFF" w:val="clear"/>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provision (benefit) for income taxes is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3644" w:type="dxa"/>
        <w:jc w:val="left"/>
        <w:tblInd w:w="0" w:type="dxa"/>
        <w:tblLayout w:type="fixed"/>
        <w:tblCellMar>
          <w:top w:w="0" w:type="dxa"/>
          <w:left w:w="0" w:type="dxa"/>
          <w:bottom w:w="0" w:type="dxa"/>
          <w:right w:w="0" w:type="dxa"/>
        </w:tblCellMar>
      </w:tblPr>
      <w:tblGrid>
        <w:gridCol w:w="1565"/>
        <w:gridCol w:w="60"/>
        <w:gridCol w:w="125"/>
        <w:gridCol w:w="650"/>
        <w:gridCol w:w="80"/>
        <w:gridCol w:w="60"/>
        <w:gridCol w:w="187"/>
        <w:gridCol w:w="822"/>
        <w:gridCol w:w="95"/>
      </w:tblGrid>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Adjusted</w:t>
            </w:r>
          </w:p>
        </w:tc>
        <w:tc>
          <w:tcPr>
            <w:tcW w:w="9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Currently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9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4,919</w:t>
            </w:r>
          </w:p>
        </w:tc>
        <w:tc>
          <w:tcPr>
            <w:tcW w:w="95"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4,949</w:t>
            </w:r>
          </w:p>
        </w:tc>
        <w:tc>
          <w:tcPr>
            <w:tcW w:w="9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components of the net deferred tax asset as of </w:t>
      </w:r>
      <w:r>
        <w:rPr>
          <w:rStyle w:val="Emphasis"/>
          <w:rFonts w:ascii="Times New Roman" w:hAnsi="Times New Roman"/>
          <w:caps w:val="false"/>
          <w:smallCaps w:val="false"/>
          <w:sz w:val="20"/>
        </w:rPr>
        <w:t xml:space="preserve">June 30 </w:t>
      </w:r>
      <w:r>
        <w:rPr>
          <w:rFonts w:ascii="Times New Roman" w:hAnsi="Times New Roman"/>
          <w:caps w:val="false"/>
          <w:smallCaps w:val="false"/>
          <w:sz w:val="20"/>
        </w:rPr>
        <w:t>are summarized in the table below.</w:t>
      </w:r>
    </w:p>
    <w:p>
      <w:pPr>
        <w:pStyle w:val="TextBody"/>
        <w:bidi w:val="0"/>
        <w:spacing w:before="0" w:after="0"/>
        <w:ind w:left="0" w:right="0" w:hanging="0"/>
        <w:jc w:val="left"/>
        <w:rPr>
          <w:caps w:val="false"/>
          <w:smallCaps w:val="false"/>
        </w:rPr>
      </w:pPr>
      <w:r>
        <w:rPr>
          <w:caps w:val="false"/>
          <w:smallCaps w:val="false"/>
        </w:rPr>
        <w:t> </w:t>
      </w:r>
    </w:p>
    <w:tbl>
      <w:tblPr>
        <w:tblW w:w="8534" w:type="dxa"/>
        <w:jc w:val="left"/>
        <w:tblInd w:w="0" w:type="dxa"/>
        <w:tblLayout w:type="fixed"/>
        <w:tblCellMar>
          <w:top w:w="0" w:type="dxa"/>
          <w:left w:w="0" w:type="dxa"/>
          <w:bottom w:w="0" w:type="dxa"/>
          <w:right w:w="0" w:type="dxa"/>
        </w:tblCellMar>
      </w:tblPr>
      <w:tblGrid>
        <w:gridCol w:w="6515"/>
        <w:gridCol w:w="60"/>
        <w:gridCol w:w="125"/>
        <w:gridCol w:w="590"/>
        <w:gridCol w:w="80"/>
        <w:gridCol w:w="60"/>
        <w:gridCol w:w="162"/>
        <w:gridCol w:w="847"/>
        <w:gridCol w:w="95"/>
      </w:tblGrid>
      <w:tr>
        <w:trPr/>
        <w:tc>
          <w:tcPr>
            <w:tcW w:w="6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Adjusted</w:t>
            </w:r>
          </w:p>
        </w:tc>
        <w:tc>
          <w:tcPr>
            <w:tcW w:w="95"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Retirement plans and employee benefits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5,065</w:t>
            </w:r>
          </w:p>
        </w:tc>
        <w:tc>
          <w:tcPr>
            <w:tcW w:w="95"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 credit carryforwards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9,639</w:t>
            </w:r>
          </w:p>
        </w:tc>
        <w:tc>
          <w:tcPr>
            <w:tcW w:w="95"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 tax credits, net of ASU 2013-11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w:t>
            </w:r>
          </w:p>
        </w:tc>
        <w:tc>
          <w:tcPr>
            <w:tcW w:w="95"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net operating loss and other state credit carryforwards, net of ASU 2013-11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2,651</w:t>
            </w:r>
          </w:p>
        </w:tc>
        <w:tc>
          <w:tcPr>
            <w:tcW w:w="95"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w:t>
            </w:r>
          </w:p>
        </w:tc>
        <w:tc>
          <w:tcPr>
            <w:tcW w:w="95"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w:t>
            </w:r>
          </w:p>
        </w:tc>
        <w:tc>
          <w:tcPr>
            <w:tcW w:w="95"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&amp; experimental expenditure capitalization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w:t>
            </w:r>
          </w:p>
        </w:tc>
        <w:tc>
          <w:tcPr>
            <w:tcW w:w="95"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net operating loss carryforwards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95"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w:t>
            </w:r>
          </w:p>
        </w:tc>
        <w:tc>
          <w:tcPr>
            <w:tcW w:w="95"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assets - operating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4,629</w:t>
            </w:r>
          </w:p>
        </w:tc>
        <w:tc>
          <w:tcPr>
            <w:tcW w:w="95"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Disallowed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w:t>
            </w:r>
          </w:p>
        </w:tc>
        <w:tc>
          <w:tcPr>
            <w:tcW w:w="95"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loss carryforward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95"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w:t>
            </w:r>
          </w:p>
        </w:tc>
        <w:tc>
          <w:tcPr>
            <w:tcW w:w="95"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w:t>
            </w:r>
          </w:p>
        </w:tc>
        <w:tc>
          <w:tcPr>
            <w:tcW w:w="95"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31,582</w:t>
            </w:r>
          </w:p>
        </w:tc>
        <w:tc>
          <w:tcPr>
            <w:tcW w:w="95"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15,080</w:t>
            </w:r>
          </w:p>
        </w:tc>
        <w:tc>
          <w:tcPr>
            <w:tcW w:w="95"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7,521</w:t>
            </w:r>
          </w:p>
        </w:tc>
        <w:tc>
          <w:tcPr>
            <w:tcW w:w="95"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2,719</w:t>
            </w:r>
          </w:p>
        </w:tc>
        <w:tc>
          <w:tcPr>
            <w:tcW w:w="95"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w:t>
            </w:r>
          </w:p>
        </w:tc>
        <w:tc>
          <w:tcPr>
            <w:tcW w:w="95"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 term operating lease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4,917</w:t>
            </w:r>
          </w:p>
        </w:tc>
        <w:tc>
          <w:tcPr>
            <w:tcW w:w="95"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Hedging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95"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95"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16,588</w:t>
            </w:r>
          </w:p>
        </w:tc>
        <w:tc>
          <w:tcPr>
            <w:tcW w:w="95"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deferred tax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has net operating loss carryforwards (“NOLs”) of approximately $0 and $11,685 for federal and state income tax purposes, respectively, which will expire at various dates from fiscal year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 </w:t>
      </w:r>
      <w:r>
        <w:rPr>
          <w:rStyle w:val="Emphasis"/>
          <w:rFonts w:ascii="Times New Roman" w:hAnsi="Times New Roman"/>
          <w:caps w:val="false"/>
          <w:smallCaps w:val="false"/>
          <w:sz w:val="20"/>
        </w:rPr>
        <w:t>2045.</w:t>
      </w:r>
      <w:r>
        <w:rPr>
          <w:rFonts w:ascii="Times New Roman" w:hAnsi="Times New Roman"/>
          <w:caps w:val="false"/>
          <w:smallCaps w:val="false"/>
          <w:sz w:val="20"/>
        </w:rPr>
        <w:t xml:space="preserve"> During the year, the Company filed accounting method change applications with the Internal Revenue Service, which resulted in changes to certain tax attribute balances, including inventory, prepaids and deferred revenue. The Company has federal and state tax Research &amp; Development credit (“R&amp;D credits”) carryforwards of approximately $1,345 and $1,190, respectively. Federal R&amp;D credits will expire at various dates from fiscal years </w:t>
      </w:r>
      <w:r>
        <w:rPr>
          <w:rStyle w:val="Emphasis"/>
          <w:rFonts w:ascii="Times New Roman" w:hAnsi="Times New Roman"/>
          <w:caps w:val="false"/>
          <w:smallCaps w:val="false"/>
          <w:sz w:val="20"/>
        </w:rPr>
        <w:t>2038</w:t>
      </w:r>
      <w:r>
        <w:rPr>
          <w:rFonts w:ascii="Times New Roman" w:hAnsi="Times New Roman"/>
          <w:caps w:val="false"/>
          <w:smallCaps w:val="false"/>
          <w:sz w:val="20"/>
        </w:rPr>
        <w:t xml:space="preserve"> – </w:t>
      </w:r>
      <w:r>
        <w:rPr>
          <w:rStyle w:val="Emphasis"/>
          <w:rFonts w:ascii="Times New Roman" w:hAnsi="Times New Roman"/>
          <w:caps w:val="false"/>
          <w:smallCaps w:val="false"/>
          <w:sz w:val="20"/>
        </w:rPr>
        <w:t>2046,</w:t>
      </w:r>
      <w:r>
        <w:rPr>
          <w:rFonts w:ascii="Times New Roman" w:hAnsi="Times New Roman"/>
          <w:caps w:val="false"/>
          <w:smallCaps w:val="false"/>
          <w:sz w:val="20"/>
        </w:rPr>
        <w:t xml:space="preserve"> while state R&amp;D credits will expire at various dates from fiscal years </w:t>
      </w:r>
      <w:r>
        <w:rPr>
          <w:rStyle w:val="Emphasis"/>
          <w:rFonts w:ascii="Times New Roman" w:hAnsi="Times New Roman"/>
          <w:caps w:val="false"/>
          <w:smallCaps w:val="false"/>
          <w:sz w:val="20"/>
        </w:rPr>
        <w:t>2063</w:t>
      </w:r>
      <w:r>
        <w:rPr>
          <w:rFonts w:ascii="Times New Roman" w:hAnsi="Times New Roman"/>
          <w:caps w:val="false"/>
          <w:smallCaps w:val="false"/>
          <w:sz w:val="20"/>
        </w:rPr>
        <w:t xml:space="preserve"> – </w:t>
      </w:r>
      <w:r>
        <w:rPr>
          <w:rStyle w:val="Emphasis"/>
          <w:rFonts w:ascii="Times New Roman" w:hAnsi="Times New Roman"/>
          <w:caps w:val="false"/>
          <w:smallCaps w:val="false"/>
          <w:sz w:val="20"/>
        </w:rPr>
        <w:t>2076.</w:t>
      </w:r>
      <w:r>
        <w:rPr>
          <w:rFonts w:ascii="Times New Roman" w:hAnsi="Times New Roman"/>
          <w:caps w:val="false"/>
          <w:smallCaps w:val="false"/>
          <w:sz w:val="20"/>
        </w:rPr>
        <w:t xml:space="preserve"> The Company has foreign tax credit carryforwards of approximately $1,502, which will expire at various dates from fiscal </w:t>
      </w:r>
      <w:r>
        <w:rPr>
          <w:rStyle w:val="Emphasis"/>
          <w:rFonts w:ascii="Times New Roman" w:hAnsi="Times New Roman"/>
          <w:caps w:val="false"/>
          <w:smallCaps w:val="false"/>
          <w:sz w:val="20"/>
        </w:rPr>
        <w:t>2027</w:t>
      </w:r>
      <w:r>
        <w:rPr>
          <w:rFonts w:ascii="Times New Roman" w:hAnsi="Times New Roman"/>
          <w:caps w:val="false"/>
          <w:smallCaps w:val="false"/>
          <w:sz w:val="20"/>
        </w:rPr>
        <w:t>-</w:t>
      </w:r>
      <w:r>
        <w:rPr>
          <w:rStyle w:val="Emphasis"/>
          <w:rFonts w:ascii="Times New Roman" w:hAnsi="Times New Roman"/>
          <w:caps w:val="false"/>
          <w:smallCaps w:val="false"/>
          <w:sz w:val="20"/>
        </w:rPr>
        <w:t>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maintains valuation allowances when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all or a portion of a deferred tax asset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Changes in valuation allowances from period to period are included in the tax provision in the period of change. In determining whether a valuation allowance is required, the Company takes into account such factors as prior earnings history, expected future earnings, carry-back and carry-forward periods, and available tax planning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 reassessed the realizability of its deferred tax assets and concluded that its domestic valuation allowance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required. This conclusion was supported by improved operating results, including a </w:t>
      </w:r>
      <w:r>
        <w:rPr>
          <w:rStyle w:val="Emphasis"/>
          <w:rFonts w:ascii="Times New Roman" w:hAnsi="Times New Roman"/>
          <w:caps w:val="false"/>
          <w:smallCaps w:val="false"/>
          <w:sz w:val="20"/>
        </w:rPr>
        <w:t>three</w:t>
      </w:r>
      <w:r>
        <w:rPr>
          <w:rFonts w:ascii="Times New Roman" w:hAnsi="Times New Roman"/>
          <w:caps w:val="false"/>
          <w:smallCaps w:val="false"/>
          <w:sz w:val="20"/>
        </w:rPr>
        <w:t>-year cumulative income position, as well as the implementation of tax planning strategies during the year. As a result, the Company released $23,879 of valuation allowance and recognized a corresponding income tax benefit. Of the total valuation allowance released, $7,462 was recorded directly to retained earnings in connection with the change in inventory valuation method from LIFO to FIFO, and $16,417 was recognized as an income tax benefit in the Consolidated Statement of Operations and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The table below provides the updated requirements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on a prospective basis. See Note A – Description of Business and Summary of Significant Accounting Policies- Recently Adopted Accounting Standards section for additional details on the adoption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Following is a reconciliation of the applicable U.S. federal income taxes to the actual income taxes reflected in the statements of operations and other comprehensive income (loss) for the year-end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0" w:type="dxa"/>
          <w:right w:w="0" w:type="dxa"/>
        </w:tblCellMar>
      </w:tblPr>
      <w:tblGrid>
        <w:gridCol w:w="5645"/>
        <w:gridCol w:w="60"/>
        <w:gridCol w:w="125"/>
        <w:gridCol w:w="650"/>
        <w:gridCol w:w="80"/>
        <w:gridCol w:w="60"/>
        <w:gridCol w:w="89"/>
        <w:gridCol w:w="816"/>
        <w:gridCol w:w="245"/>
      </w:tblGrid>
      <w:tr>
        <w:trPr/>
        <w:tc>
          <w:tcPr>
            <w:tcW w:w="5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45" w:type="dxa"/>
            <w:tcBorders/>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Percentage</w:t>
            </w:r>
          </w:p>
        </w:tc>
        <w:tc>
          <w:tcPr>
            <w:tcW w:w="245"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 Statutory Tax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and Local Income Taxes, Net of Federal Income Tax Effect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 Effects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Belgium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Italy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Netherlands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Return to Provision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Innovation box regime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Singapore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 tax</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foreign jurisdictions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Changes in Tax Laws or Rates Enacted in the Current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Cross-Border Tax Laws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Subpart F</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Global Intangible Low-Taxed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Foreign-derived Intangible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Credits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 credit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Valuation Allowances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Nontaxable or Nondeductible items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Unrecognized Tax Benefits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Adjustments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True-ups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Tax Rate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6"/>
        <w:gridCol w:w="9919"/>
      </w:tblGrid>
      <w:tr>
        <w:trPr/>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1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 taxes in New Hampshire and Wisconsin make up the majority of the tax effect in this category as well as the release of the state valuation.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effective tax rate of (102.8%) was primarily driven by the release of the Federal and State valuation allowance, and foreign inclusion items: GILTI, FDII and subpart 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the President signed H.R.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the “One Big Beautiful Bill Act,” into law. The legislation includes several changes to federal tax law that generally allow for more favorable deductibility of certain business expenses beginning in calendar year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including the restoration of immediate expensing of domestic R&amp;D expenditures, reinstatement of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bonus depreciation, and more favorable rules for determining the limitation on business interest expense.  The Act also includes certain changes to the US taxation of foreign activity, including changes to foreign tax credits, GILTI, FDII, and BEAT. These changes are generally effective for tax years beginning after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change in tax law has had an immaterial net impact on the tax provision for the year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advantageous provisions of the tax act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beneficial to the Company in their efforts to utilize expiring tax attributes.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As previously disclosed and adjusted, the following is a reconciliation of the applicable U.S. federal income taxes to the actual income taxes reflected in the statements of operations and other comprehensive income (loss) for the year-end </w:t>
      </w:r>
      <w:r>
        <w:rPr>
          <w:rStyle w:val="Emphasis"/>
          <w:rFonts w:ascii="Times New Roman" w:hAnsi="Times New Roman"/>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tbl>
      <w:tblPr>
        <w:tblW w:w="4709" w:type="dxa"/>
        <w:jc w:val="left"/>
        <w:tblInd w:w="0" w:type="dxa"/>
        <w:tblLayout w:type="fixed"/>
        <w:tblCellMar>
          <w:top w:w="0" w:type="dxa"/>
          <w:left w:w="0" w:type="dxa"/>
          <w:bottom w:w="0" w:type="dxa"/>
          <w:right w:w="0" w:type="dxa"/>
        </w:tblCellMar>
      </w:tblPr>
      <w:tblGrid>
        <w:gridCol w:w="3545"/>
        <w:gridCol w:w="60"/>
        <w:gridCol w:w="187"/>
        <w:gridCol w:w="822"/>
        <w:gridCol w:w="95"/>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Adjusted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federal income tax at 21%</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w:t>
            </w:r>
          </w:p>
        </w:tc>
        <w:tc>
          <w:tcPr>
            <w:tcW w:w="9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Increases (reductions) in tax resulting from:</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Foreign inclusion items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w:t>
            </w:r>
          </w:p>
        </w:tc>
        <w:tc>
          <w:tcPr>
            <w:tcW w:w="9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rate differences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9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permanent items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9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prior period adjustments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other</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9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taxes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prior year estimate</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9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&amp; development tax credits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compensation</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9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basis adjustments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1,990</w:t>
            </w:r>
          </w:p>
        </w:tc>
        <w:tc>
          <w:tcPr>
            <w:tcW w:w="9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compensation</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9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9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provided additional U.S. income taxes on cumulative earnings of its consolidated foreign subsidiaries that are considered to be reinvested indefinitely. The Company reaffirms its position that the earnings of those subsidiaries remain permanently invested and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plans to repatriate funds from any permanently reinvested subsidiaries to the U.S. for the foreseeable future. Such earnings could become taxable upon the sale or liquidation of these foreign subsidiaries or upon dividend repatriation. The Company’s intent is for such earnings to be reinvested by the subsidiaries or to be repatriated only when it would be tax effective through the utilization of foreign tax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Annually, the company files income tax returns in various taxing jurisdictions inside and outside the United States. In general, the tax years that remain subject to examination are 2021 through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for our major operations in Belgium, Japan, Netherlands, Singapore and Australia. The tax years open to examination in the U.S. are for years subsequent to fiscal 2022, however some statutes remain open with respect to certain tax attribute carryforwards until those attributes are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has approximately $757 and $644 of unrecognized tax benefits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respectively, which, if recognized would impact the effective tax rate. The Company’s policy is to accrue interest and penalties related to unrecognized tax benefits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Below is a reconciliation of beginning and ending amount of unrecognized tax benefits as of </w:t>
      </w:r>
      <w:r>
        <w:rPr>
          <w:rStyle w:val="Emphasis"/>
          <w:rFonts w:ascii="Times New Roman" w:hAnsi="Times New Roman"/>
          <w:caps w:val="false"/>
          <w:smallCaps w:val="false"/>
          <w:sz w:val="20"/>
        </w:rPr>
        <w:t>June 30:</w:t>
      </w:r>
    </w:p>
    <w:p>
      <w:pPr>
        <w:pStyle w:val="TextBody"/>
        <w:bidi w:val="0"/>
        <w:spacing w:before="0" w:after="0"/>
        <w:ind w:left="0" w:right="0" w:hanging="0"/>
        <w:jc w:val="left"/>
        <w:rPr>
          <w:caps w:val="false"/>
          <w:smallCaps w:val="false"/>
        </w:rPr>
      </w:pPr>
      <w:r>
        <w:rPr>
          <w:caps w:val="false"/>
          <w:smallCaps w:val="false"/>
        </w:rPr>
        <w:t> </w:t>
      </w:r>
    </w:p>
    <w:tbl>
      <w:tblPr>
        <w:tblW w:w="6065" w:type="dxa"/>
        <w:jc w:val="left"/>
        <w:tblInd w:w="0" w:type="dxa"/>
        <w:tblLayout w:type="fixed"/>
        <w:tblCellMar>
          <w:top w:w="0" w:type="dxa"/>
          <w:left w:w="0" w:type="dxa"/>
          <w:bottom w:w="0" w:type="dxa"/>
          <w:right w:w="0" w:type="dxa"/>
        </w:tblCellMar>
      </w:tblPr>
      <w:tblGrid>
        <w:gridCol w:w="4805"/>
        <w:gridCol w:w="60"/>
        <w:gridCol w:w="125"/>
        <w:gridCol w:w="335"/>
        <w:gridCol w:w="80"/>
        <w:gridCol w:w="60"/>
        <w:gridCol w:w="125"/>
        <w:gridCol w:w="395"/>
        <w:gridCol w:w="80"/>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Unrecognized tax benefits, beginning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w:t>
            </w:r>
          </w:p>
        </w:tc>
        <w:tc>
          <w:tcPr>
            <w:tcW w:w="8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based on tax positions related to the prior year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based on tax positions related to the current year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Reductions based on tax positions related to the prior year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Subtractions due to statues closing</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Unrecognized tax benefits, end of year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Substantially all of the Company’s unrecognized tax benefits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if recognized, would affect the effective tax rate.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amounts accrued for interest and penalties totaled $2 and $6, respectively,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reconciliation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made tax payments and received tax refunds during the year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as follows:</w:t>
      </w:r>
    </w:p>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4565"/>
        <w:gridCol w:w="60"/>
        <w:gridCol w:w="125"/>
        <w:gridCol w:w="485"/>
        <w:gridCol w:w="60"/>
        <w:gridCol w:w="60"/>
        <w:gridCol w:w="125"/>
        <w:gridCol w:w="485"/>
        <w:gridCol w:w="60"/>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Federal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 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Belgium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Italy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Netherlands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Singapore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paid for income taxes (net of refunds)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paid for income taxes (prior to ASU 2023-09)</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is involved in litigation of which the ultimate outcome and liability to the Company, if any,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presently determinable. Management believes that final disposition of such litigation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results of operations, financial position or cash flows, either individually or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Tariffs:</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20, 2026, </w:t>
      </w:r>
      <w:r>
        <w:rPr>
          <w:rFonts w:ascii="Times New Roman" w:hAnsi="Times New Roman"/>
          <w:caps w:val="false"/>
          <w:smallCaps w:val="false"/>
          <w:sz w:val="20"/>
        </w:rPr>
        <w:t xml:space="preserve">the U.S. Supreme Court invalidated tariffs previously imposed under the International Emergency Economic Powers Act (“IEEPA”). The ruling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address the availability, timing or mechanics of any potential refunds related to tariffs previously collected, and the outcome of any related administrative or legal processes remains uncertain. Following the ruling, the U.S. administration implemented new tariffs under alternative statutory authority, including Section </w:t>
      </w:r>
      <w:r>
        <w:rPr>
          <w:rStyle w:val="Emphasis"/>
          <w:rFonts w:ascii="Times New Roman" w:hAnsi="Times New Roman"/>
          <w:caps w:val="false"/>
          <w:smallCaps w:val="false"/>
          <w:sz w:val="20"/>
        </w:rPr>
        <w:t>122</w:t>
      </w:r>
      <w:r>
        <w:rPr>
          <w:rFonts w:ascii="Times New Roman" w:hAnsi="Times New Roman"/>
          <w:caps w:val="false"/>
          <w:smallCaps w:val="false"/>
          <w:sz w:val="20"/>
        </w:rPr>
        <w:t xml:space="preserve"> of the Trade Act of </w:t>
      </w:r>
      <w:r>
        <w:rPr>
          <w:rStyle w:val="Emphasis"/>
          <w:rFonts w:ascii="Times New Roman" w:hAnsi="Times New Roman"/>
          <w:caps w:val="false"/>
          <w:smallCaps w:val="false"/>
          <w:sz w:val="20"/>
        </w:rPr>
        <w:t>1974,</w:t>
      </w:r>
      <w:r>
        <w:rPr>
          <w:rFonts w:ascii="Times New Roman" w:hAnsi="Times New Roman"/>
          <w:caps w:val="false"/>
          <w:smallCaps w:val="false"/>
          <w:sz w:val="20"/>
        </w:rPr>
        <w:t xml:space="preserve"> which permits temporary import surcharges subject to statutory limits and duration requirements. In </w:t>
      </w:r>
      <w:r>
        <w:rPr>
          <w:rStyle w:val="Emphasis"/>
          <w:rFonts w:ascii="Times New Roman" w:hAnsi="Times New Roman"/>
          <w:caps w:val="false"/>
          <w:smallCaps w:val="false"/>
          <w:sz w:val="20"/>
        </w:rPr>
        <w:t xml:space="preserve">April 2026, </w:t>
      </w:r>
      <w:r>
        <w:rPr>
          <w:rFonts w:ascii="Times New Roman" w:hAnsi="Times New Roman"/>
          <w:caps w:val="false"/>
          <w:smallCaps w:val="false"/>
          <w:sz w:val="20"/>
        </w:rPr>
        <w:t xml:space="preserve">the U.S. Court of International Trade (“CIT”) issued an order for the U.S. Customs and Border Protection (“CBP”) to treat the IEEPA Tariffs as unlawful and administer affected import entries accordingly. As a result of the order, the CBP must recalculate duties without the IEEPA tariffs and ensure that importers of record receive the benefit of the Supreme Court ruling in the form of refunds for such amounts paid and interest. On </w:t>
      </w:r>
      <w:r>
        <w:rPr>
          <w:rStyle w:val="Emphasis"/>
          <w:rFonts w:ascii="Times New Roman" w:hAnsi="Times New Roman"/>
          <w:caps w:val="false"/>
          <w:smallCaps w:val="false"/>
          <w:sz w:val="20"/>
        </w:rPr>
        <w:t xml:space="preserve">June 2, 2026, </w:t>
      </w:r>
      <w:r>
        <w:rPr>
          <w:rFonts w:ascii="Times New Roman" w:hAnsi="Times New Roman"/>
          <w:caps w:val="false"/>
          <w:smallCaps w:val="false"/>
          <w:sz w:val="20"/>
        </w:rPr>
        <w:t xml:space="preserve">the Department of Justice filed an appeal with the U.S. Court of Appeals for the Federal Circuit challenging the CIT's order requiring CBP to provide refunds of IEEPA tariffs on a broad, nationwide basis. Multiple legal challenges to the Section </w:t>
      </w:r>
      <w:r>
        <w:rPr>
          <w:rStyle w:val="Emphasis"/>
          <w:rFonts w:ascii="Times New Roman" w:hAnsi="Times New Roman"/>
          <w:caps w:val="false"/>
          <w:smallCaps w:val="false"/>
          <w:sz w:val="20"/>
        </w:rPr>
        <w:t>122</w:t>
      </w:r>
      <w:r>
        <w:rPr>
          <w:rFonts w:ascii="Times New Roman" w:hAnsi="Times New Roman"/>
          <w:caps w:val="false"/>
          <w:smallCaps w:val="false"/>
          <w:sz w:val="20"/>
        </w:rPr>
        <w:t xml:space="preserve"> tariffs have been filed as well, and on </w:t>
      </w:r>
      <w:r>
        <w:rPr>
          <w:rStyle w:val="Emphasis"/>
          <w:rFonts w:ascii="Times New Roman" w:hAnsi="Times New Roman"/>
          <w:caps w:val="false"/>
          <w:smallCaps w:val="false"/>
          <w:sz w:val="20"/>
        </w:rPr>
        <w:t xml:space="preserve">May 7, 2026, </w:t>
      </w:r>
      <w:r>
        <w:rPr>
          <w:rFonts w:ascii="Times New Roman" w:hAnsi="Times New Roman"/>
          <w:caps w:val="false"/>
          <w:smallCaps w:val="false"/>
          <w:sz w:val="20"/>
        </w:rPr>
        <w:t xml:space="preserve">the U.S. Court of International Trade ruled that the Section </w:t>
      </w:r>
      <w:r>
        <w:rPr>
          <w:rStyle w:val="Emphasis"/>
          <w:rFonts w:ascii="Times New Roman" w:hAnsi="Times New Roman"/>
          <w:caps w:val="false"/>
          <w:smallCaps w:val="false"/>
          <w:sz w:val="20"/>
        </w:rPr>
        <w:t>122</w:t>
      </w:r>
      <w:r>
        <w:rPr>
          <w:rFonts w:ascii="Times New Roman" w:hAnsi="Times New Roman"/>
          <w:caps w:val="false"/>
          <w:smallCaps w:val="false"/>
          <w:sz w:val="20"/>
        </w:rPr>
        <w:t xml:space="preserve"> tariffs are unlawful; however, the court's injunction applies only to the named plaintiffs, and the tariffs remain in effect for all other importers pending appeal.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is evaluating the impact of the Supreme Court ruling and the subsequent order issued by the CIT, and is monitoring related developments from the CBP regarding its plan to process refunds to importers of record, including the launch on </w:t>
      </w:r>
      <w:r>
        <w:rPr>
          <w:rStyle w:val="Emphasis"/>
          <w:rFonts w:ascii="Times New Roman" w:hAnsi="Times New Roman"/>
          <w:caps w:val="false"/>
          <w:smallCaps w:val="false"/>
          <w:sz w:val="20"/>
        </w:rPr>
        <w:t xml:space="preserve">April 20, 2026 </w:t>
      </w:r>
      <w:r>
        <w:rPr>
          <w:rFonts w:ascii="Times New Roman" w:hAnsi="Times New Roman"/>
          <w:caps w:val="false"/>
          <w:smallCaps w:val="false"/>
          <w:sz w:val="20"/>
        </w:rPr>
        <w:t xml:space="preserve">of the CBP's Consolidated Administration and Processing of Entries (“CAPE”) system for submitting refund claims, as well as the administration’s decision on whether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appeal the CIT’s order.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 receivable related to potential refunds for IEEPA Tariffs paid by the Company. The ultimate resolution of this matter, including the administration’s decision to appeal the CIT’s order, the extent and manner in which costs previously incurred and paid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recoverable through the CBP, and the timing of any potential recovery remains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 RESTRUCTURING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Restructuring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has implemented various restructuring programs in response to unfavorable macroeconomic trends in certain of the Company’s markets since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These programs primarily involved the reduction of workforce in several of the Company’s manufacturing locations, under a combination of voluntary and involuntary programs.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undertook a series of steps to accelerate its focus on its core competencies, improve its fixed cost structure, and monetize some of its under-utilized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continued its restructuring plans with regard to its Belgian operations during fiscal year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 voluntary program was implemented to reduce the workforce. The action was taken to allow the Belgian operation to focus resources on core manufacturing processes, while allowing for savings on the outsourcing of non-core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Total restructuring charges relating to streamlining operations totaled $227 and $369 in fiscal year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is a roll-forward of restructuring activity:</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295"/>
        <w:gridCol w:w="60"/>
        <w:gridCol w:w="125"/>
        <w:gridCol w:w="395"/>
        <w:gridCol w:w="80"/>
      </w:tblGrid>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restructuring liability, June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adjustments and write-offs during the year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restructuring liability,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Q.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calculates basic earnings per share based upon the weighted average number of common shares outstanding during the period, while the calculation of diluted earnings per share includes the dilutive effect of potential common shares outstanding during the period.  The calculation of diluted earnings per share excludes all potential common shares if their inclusion would have an anti-dilutive effect.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components of basic and diluted earnings per share were as follows:</w:t>
      </w:r>
    </w:p>
    <w:p>
      <w:pPr>
        <w:pStyle w:val="TextBody"/>
        <w:bidi w:val="0"/>
        <w:spacing w:before="0" w:after="0"/>
        <w:ind w:left="0" w:right="0" w:hanging="0"/>
        <w:jc w:val="left"/>
        <w:rPr>
          <w:caps w:val="false"/>
          <w:smallCaps w:val="false"/>
        </w:rPr>
      </w:pPr>
      <w:r>
        <w:rPr>
          <w:caps w:val="false"/>
          <w:smallCaps w:val="false"/>
        </w:rPr>
        <w:t> </w:t>
      </w:r>
    </w:p>
    <w:tbl>
      <w:tblPr>
        <w:tblW w:w="9609" w:type="dxa"/>
        <w:jc w:val="left"/>
        <w:tblInd w:w="0" w:type="dxa"/>
        <w:tblLayout w:type="fixed"/>
        <w:tblCellMar>
          <w:top w:w="0" w:type="dxa"/>
          <w:left w:w="0" w:type="dxa"/>
          <w:bottom w:w="0" w:type="dxa"/>
          <w:right w:w="0" w:type="dxa"/>
        </w:tblCellMar>
      </w:tblPr>
      <w:tblGrid>
        <w:gridCol w:w="7625"/>
        <w:gridCol w:w="60"/>
        <w:gridCol w:w="125"/>
        <w:gridCol w:w="590"/>
        <w:gridCol w:w="60"/>
        <w:gridCol w:w="60"/>
        <w:gridCol w:w="175"/>
        <w:gridCol w:w="834"/>
        <w:gridCol w:w="80"/>
      </w:tblGrid>
      <w:tr>
        <w:trPr/>
        <w:tc>
          <w:tcPr>
            <w:tcW w:w="7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As Adjusted</w:t>
            </w:r>
          </w:p>
        </w:tc>
        <w:tc>
          <w:tcPr>
            <w:tcW w:w="80" w:type="dxa"/>
            <w:tcBorders/>
            <w:vAlign w:val="center"/>
          </w:tcPr>
          <w:p>
            <w:pPr>
              <w:pStyle w:val="TableContents"/>
              <w:bidi w:val="0"/>
              <w:spacing w:before="0" w:after="283"/>
              <w:jc w:val="left"/>
              <w:rPr/>
            </w:pPr>
            <w:r>
              <w:rPr/>
              <w:t> </w:t>
            </w:r>
          </w:p>
        </w:tc>
      </w:tr>
      <w:tr>
        <w:trPr/>
        <w:tc>
          <w:tcPr>
            <w:tcW w:w="7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income (loss) attributable to noncontrolling interest, net of tax</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80"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Twin Disc, Incorporated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13,856</w:t>
            </w:r>
          </w:p>
        </w:tc>
        <w:tc>
          <w:tcPr>
            <w:tcW w:w="80"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(loss) per share attributable to Twin Disc, Incorporated common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income (loss) attributable to noncontrolling interest, net of tax</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80"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Twin Disc, Incorporated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13,856</w:t>
            </w:r>
          </w:p>
        </w:tc>
        <w:tc>
          <w:tcPr>
            <w:tcW w:w="80"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stock awards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13,856</w:t>
            </w:r>
          </w:p>
        </w:tc>
        <w:tc>
          <w:tcPr>
            <w:tcW w:w="80"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(loss) per share attributable to Twin Disc, Incorporated common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potential common shares were excluded from diluted EPS for the year-ended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as the Company reported a net loss: 404.3 related to the Company’s unvested PSAs, 10.5 related to the Company’s unvested PSAUs, 121.0 related to the Company’s unvested RS awards, and 55.0 related to the Company’s unvested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 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reports all derivative instruments on its consolidated balance sheets at fair value and establishes criteria for designation and effectiveness of transactions entered into for hedging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a global organization, the Company faces exposure to market risks, such as fluctuations in foreign currency exchange rates, interest rates and commodity prices. To manage the volatility relating to these exposures, the Company enters into various derivative instruments from time to time under its risk management policies. The Company designates derivative instruments as hedges on a transaction basis to support hedge accounting. The changes in fair value of these hedging instruments offset in part or in whole corresponding changes in the fair value or cash flows of the underlying exposures being hedged. The Company assesses the initial and ongoing effectiveness of its hedging relationships in accordance with its policy.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purchase, hold or sell derivative financial instruments for trading purposes. The Company’s practice is to terminate derivative transactions if the underlying asset or liability matures or is sold or terminated, or if it determines the underlying forecasted transaction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probable of occurring.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Rate Swaps Designated as Cash Flow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year the Company had one interest rate swap contract that matured as of </w:t>
      </w:r>
      <w:r>
        <w:rPr>
          <w:rStyle w:val="Emphasis"/>
          <w:rFonts w:ascii="Times New Roman" w:hAnsi="Times New Roman"/>
          <w:caps w:val="false"/>
          <w:smallCaps w:val="false"/>
          <w:sz w:val="20"/>
        </w:rPr>
        <w:t xml:space="preserve">March 4, 2026, </w:t>
      </w:r>
      <w:r>
        <w:rPr>
          <w:rFonts w:ascii="Times New Roman" w:hAnsi="Times New Roman"/>
          <w:caps w:val="false"/>
          <w:smallCaps w:val="false"/>
          <w:sz w:val="20"/>
        </w:rPr>
        <w:t xml:space="preserve">with a notional amount of $6,500. It had been designated as a cash flow hedge in accordance with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Derivatives and Hedging.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primary purpose of the Company’s cash flow hedging activities is to manage the potential changes in value associated with interest payments on the Company’s SOFR-based indebtedness. The Company records gains and losses on interest rate swap contracts qualifying as cash flow hedges in accumulated other comprehensive income (loss) to the extent that these hedges are effective and until the Company recognizes the underlying transactions in net earnings, at which time these gains and losses are recognized in interest expense on its consolidated statements of operations and comprehensive income (loss). Cash flows from derivative financial instruments are classified as cash flows from financing activities on the consolidated statements of cash flows. These contracts generally have original maturities of greater than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Net unrealized after-tax losses related to cash flow hedging activities that were included in accumulated other comprehensive income (loss) were $0 and ($285) for the years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The unrealized amounts in accumulated other comprehensive loss will fluctuate based on changes in the fair value of open contracts during each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Derivatives Designated as Net Investment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 refinanced and replaced its Credit Agreement as discussed in Note G, Debt, of the notes to the consolidated financial statements. As part of the refinance of the credit agreement the Revolving Loan designated in euro was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exposed to foreign currency exchange risk related to its investment in net assets in foreign countries. As discussed in Note G, Debt, of the notes to the consolidated financial statements,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designated its euro denominated Revolving Loan, with a notional amount of €13,500, as a net investment hedge to mitigate the risk of variability in its euro denominated net investments in wholly-owned foreign subsidiaries. All changes in fair value of the euro revolver were then reported in accumulated other comprehensive loss along with the foreign currency translation adjustments on those foreign investments. Net unrealized after-tax income (loss) related to net investment hedging activities that were included in accumulated other comprehensive income (loss) were $0 and $129 for the years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Foreign Currency Forward Contracts </w:t>
      </w:r>
      <w:r>
        <w:rPr>
          <w:rStyle w:val="Emphasis"/>
          <w:rFonts w:ascii="Times New Roman" w:hAnsi="Times New Roman"/>
          <w:i/>
          <w:caps w:val="false"/>
          <w:smallCaps w:val="false"/>
          <w:sz w:val="20"/>
        </w:rPr>
        <w:t>Not</w:t>
      </w:r>
      <w:r>
        <w:rPr>
          <w:rFonts w:ascii="Times New Roman" w:hAnsi="Times New Roman"/>
          <w:i/>
          <w:caps w:val="false"/>
          <w:smallCaps w:val="false"/>
          <w:sz w:val="20"/>
        </w:rPr>
        <w:t xml:space="preserve"> Designated as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primarily enters into forward exchange contracts to reduce the earnings and cash flow impact of non-functional currency denominated receivables and payables. These contracts are highly effective in hedging the cash flows attributable to changes in currency exchange rates. Gains and losses resulting from these contracts offset the foreign exchange gains or losses on the underlying assets and liabilities being hedged. The maturities of the forward exchange contracts generally coincide with the settlement dates of the related transactions. Gains and losses on these contracts are recorded in other expense, net in the consolidated statement of operations and comprehensive income (loss) as the changes in the fair value of the contracts are recognized and generally offset the gains and losses on the hedged items in the same period. The primary currency to which the Company was exposed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the euro.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significant forward exchange contracts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Other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utilize commodity price hedges to manage commodity price risk exposure. Likewise,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hedge the translation exposure represented by the net assets of its foreign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Fair Value of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interest rate swaps and foreign currency forward contracts are recorded at fair value on the consolidated balance sheets using a discounted cash flow analysis that incorporates observable market inputs. These market inputs include foreign currency spot and forward rates, and various interest rate curves, and are obtained from pricing data quoted by various banks,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sources and foreign currency dealers involving identical or comparable instruments (Level </w:t>
      </w:r>
      <w:r>
        <w:rPr>
          <w:rStyle w:val="Emphasis"/>
          <w:rFonts w:ascii="Times New Roman" w:hAnsi="Times New Roman"/>
          <w:caps w:val="false"/>
          <w:smallCaps w:val="false"/>
          <w:sz w:val="20"/>
        </w:rPr>
        <w:t>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Counterparties to these foreign currency forward contracts have at least an investment grade rating. Credit ratings on some of the Company’s counterparties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change during the term of the financial instruments. The Company closely monitors its counterparties’ credit ratings and, if necessary, will make any appropriate changes to its financial instruments. The fair value generally reflects the estimated amounts that the Company would receive or pay to terminate the contracts at the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The fair value of derivative instruments included in the consolidated balance sheets at </w:t>
      </w:r>
      <w:r>
        <w:rPr>
          <w:rStyle w:val="Emphasis"/>
          <w:rFonts w:ascii="Times New Roman" w:hAnsi="Times New Roman"/>
          <w:caps w:val="false"/>
          <w:smallCaps w:val="false"/>
          <w:sz w:val="20"/>
        </w:rPr>
        <w:t xml:space="preserve">June 30 </w:t>
      </w:r>
      <w:r>
        <w:rPr>
          <w:rFonts w:ascii="Times New Roman" w:hAnsi="Times New Roman"/>
          <w:caps w:val="false"/>
          <w:smallCaps w:val="false"/>
          <w:sz w:val="20"/>
        </w:rPr>
        <w:t>were as follows:</w:t>
      </w:r>
    </w:p>
    <w:p>
      <w:pPr>
        <w:pStyle w:val="TextBody"/>
        <w:bidi w:val="0"/>
        <w:spacing w:before="0" w:after="0"/>
        <w:ind w:left="0" w:right="0" w:hanging="0"/>
        <w:jc w:val="left"/>
        <w:rPr>
          <w:caps w:val="false"/>
          <w:smallCaps w:val="false"/>
        </w:rPr>
      </w:pPr>
      <w:r>
        <w:rPr>
          <w:caps w:val="false"/>
          <w:smallCaps w:val="false"/>
        </w:rPr>
        <w:t> </w:t>
      </w:r>
    </w:p>
    <w:tbl>
      <w:tblPr>
        <w:tblW w:w="5780" w:type="dxa"/>
        <w:jc w:val="left"/>
        <w:tblInd w:w="0" w:type="dxa"/>
        <w:tblLayout w:type="fixed"/>
        <w:tblCellMar>
          <w:top w:w="0" w:type="dxa"/>
          <w:left w:w="0" w:type="dxa"/>
          <w:bottom w:w="0" w:type="dxa"/>
          <w:right w:w="0" w:type="dxa"/>
        </w:tblCellMar>
      </w:tblPr>
      <w:tblGrid>
        <w:gridCol w:w="2645"/>
        <w:gridCol w:w="2015"/>
        <w:gridCol w:w="60"/>
        <w:gridCol w:w="268"/>
        <w:gridCol w:w="172"/>
        <w:gridCol w:w="60"/>
        <w:gridCol w:w="60"/>
        <w:gridCol w:w="154"/>
        <w:gridCol w:w="286"/>
        <w:gridCol w:w="60"/>
      </w:tblGrid>
      <w:tr>
        <w:trPr/>
        <w:tc>
          <w:tcPr>
            <w:tcW w:w="2645" w:type="dxa"/>
            <w:tcBorders/>
            <w:vAlign w:val="center"/>
          </w:tcPr>
          <w:p>
            <w:pPr>
              <w:pStyle w:val="TableContents"/>
              <w:bidi w:val="0"/>
              <w:spacing w:before="0" w:after="283"/>
              <w:ind w:left="0" w:right="0" w:hanging="0"/>
              <w:jc w:val="left"/>
              <w:rPr/>
            </w:pPr>
            <w:r>
              <w:rPr/>
              <w:t> </w:t>
            </w:r>
          </w:p>
        </w:tc>
        <w:tc>
          <w:tcPr>
            <w:tcW w:w="20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Sheet Location</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Derivative designated as hedge:</w:t>
            </w:r>
          </w:p>
        </w:tc>
        <w:tc>
          <w:tcPr>
            <w:tcW w:w="2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w:t>
            </w:r>
          </w:p>
        </w:tc>
        <w:tc>
          <w:tcPr>
            <w:tcW w:w="2015"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6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impact of the Company’s derivative instruments on the consolidated statement of operations and comprehensive income (loss) for the years ended </w:t>
      </w:r>
      <w:r>
        <w:rPr>
          <w:rStyle w:val="Emphasis"/>
          <w:rFonts w:ascii="Times New Roman" w:hAnsi="Times New Roman"/>
          <w:caps w:val="false"/>
          <w:smallCaps w:val="false"/>
          <w:sz w:val="20"/>
        </w:rPr>
        <w:t xml:space="preserve">June 30 </w:t>
      </w:r>
      <w:r>
        <w:rPr>
          <w:rFonts w:ascii="Times New Roman" w:hAnsi="Times New Roman"/>
          <w:caps w:val="false"/>
          <w:smallCaps w:val="false"/>
          <w:sz w:val="20"/>
        </w:rPr>
        <w:t>was as follows:</w:t>
      </w:r>
    </w:p>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2795"/>
        <w:gridCol w:w="3380"/>
        <w:gridCol w:w="60"/>
        <w:gridCol w:w="125"/>
        <w:gridCol w:w="395"/>
        <w:gridCol w:w="80"/>
        <w:gridCol w:w="60"/>
        <w:gridCol w:w="125"/>
        <w:gridCol w:w="545"/>
        <w:gridCol w:w="80"/>
      </w:tblGrid>
      <w:tr>
        <w:trPr/>
        <w:tc>
          <w:tcPr>
            <w:tcW w:w="2795" w:type="dxa"/>
            <w:tcBorders/>
            <w:vAlign w:val="center"/>
          </w:tcPr>
          <w:p>
            <w:pPr>
              <w:pStyle w:val="TableContents"/>
              <w:bidi w:val="0"/>
              <w:spacing w:before="0" w:after="283"/>
              <w:ind w:left="0" w:right="0" w:hanging="0"/>
              <w:jc w:val="left"/>
              <w:rPr/>
            </w:pPr>
            <w:r>
              <w:rPr/>
              <w:t> </w:t>
            </w:r>
          </w:p>
        </w:tc>
        <w:tc>
          <w:tcPr>
            <w:tcW w:w="338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Statement of Operations and</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ind w:left="0" w:right="0" w:hanging="0"/>
              <w:jc w:val="left"/>
              <w:rPr/>
            </w:pPr>
            <w:r>
              <w:rPr/>
              <w:t> </w:t>
            </w:r>
          </w:p>
        </w:tc>
        <w:tc>
          <w:tcPr>
            <w:tcW w:w="33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Income (Loss) Location</w:t>
            </w:r>
          </w:p>
        </w:tc>
        <w:tc>
          <w:tcPr>
            <w:tcW w:w="60" w:type="dxa"/>
            <w:tcBorders/>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Derivatives designated as hedges:</w:t>
            </w:r>
          </w:p>
        </w:tc>
        <w:tc>
          <w:tcPr>
            <w:tcW w:w="3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w:t>
            </w:r>
          </w:p>
        </w:tc>
        <w:tc>
          <w:tcPr>
            <w:tcW w:w="338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w:t>
            </w:r>
          </w:p>
        </w:tc>
        <w:tc>
          <w:tcPr>
            <w:tcW w:w="338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Unrealized gain (loss) on hedges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 hedge</w:t>
            </w:r>
          </w:p>
        </w:tc>
        <w:tc>
          <w:tcPr>
            <w:tcW w:w="338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Unrealized gain (loss) on hedges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S. </w:t>
      </w:r>
      <w:r>
        <w:rPr>
          <w:rStyle w:val="Emphasis"/>
          <w:rFonts w:ascii="Times New Roman" w:hAnsi="Times New Roman"/>
          <w:b/>
          <w:caps w:val="false"/>
          <w:smallCaps w:val="false"/>
          <w:sz w:val="20"/>
        </w:rPr>
        <w:t>2025</w:t>
      </w:r>
      <w:r>
        <w:rPr>
          <w:rFonts w:ascii="Times New Roman" w:hAnsi="Times New Roman"/>
          <w:b/>
          <w:caps w:val="false"/>
          <w:smallCaps w:val="false"/>
          <w:sz w:val="20"/>
        </w:rPr>
        <w:t xml:space="preserve"> IMPACT OF ACCOUNTING METHOD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tables summarize the effects of the accounting change described in Note B, Inventories, net, of the Company’s Consolidated Statements of Operations and Comprehensive Income (Loss), Statements of Cash Flows and Statements of Changes in Equity for the year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Consolidated Balance Sheets as of </w:t>
      </w:r>
      <w:r>
        <w:rPr>
          <w:rStyle w:val="Emphasis"/>
          <w:rFonts w:ascii="Times New Roman" w:hAnsi="Times New Roman"/>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next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65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432"/>
        <w:gridCol w:w="60"/>
        <w:gridCol w:w="195"/>
        <w:gridCol w:w="1094"/>
        <w:gridCol w:w="80"/>
        <w:gridCol w:w="60"/>
        <w:gridCol w:w="188"/>
        <w:gridCol w:w="827"/>
        <w:gridCol w:w="80"/>
        <w:gridCol w:w="60"/>
        <w:gridCol w:w="159"/>
        <w:gridCol w:w="887"/>
        <w:gridCol w:w="83"/>
      </w:tblGrid>
      <w:tr>
        <w:trPr/>
        <w:tc>
          <w:tcPr>
            <w:tcW w:w="6432"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Consolidated Statement of Operations and Comprehensive Income (Loss)</w:t>
            </w:r>
          </w:p>
        </w:tc>
        <w:tc>
          <w:tcPr>
            <w:tcW w:w="60" w:type="dxa"/>
            <w:tcBorders/>
            <w:vAlign w:val="center"/>
          </w:tcPr>
          <w:p>
            <w:pPr>
              <w:pStyle w:val="TableContents"/>
              <w:bidi w:val="0"/>
              <w:spacing w:before="0" w:after="283"/>
              <w:ind w:left="0" w:right="0" w:hanging="0"/>
              <w:jc w:val="left"/>
              <w:rPr/>
            </w:pPr>
            <w:r>
              <w:rPr/>
              <w:t> </w:t>
            </w:r>
          </w:p>
        </w:tc>
        <w:tc>
          <w:tcPr>
            <w:tcW w:w="363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83" w:type="dxa"/>
            <w:tcBorders/>
            <w:vAlign w:val="center"/>
          </w:tcPr>
          <w:p>
            <w:pPr>
              <w:pStyle w:val="TableContents"/>
              <w:bidi w:val="0"/>
              <w:spacing w:before="0" w:after="283"/>
              <w:jc w:val="left"/>
              <w:rPr/>
            </w:pPr>
            <w:r>
              <w:rPr/>
              <w:t> </w:t>
            </w:r>
          </w:p>
        </w:tc>
      </w:tr>
      <w:tr>
        <w:trPr/>
        <w:tc>
          <w:tcPr>
            <w:tcW w:w="64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Computed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Under Previous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Method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Effect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Accounting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Reported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Under New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Method</w:t>
            </w:r>
          </w:p>
        </w:tc>
        <w:tc>
          <w:tcPr>
            <w:tcW w:w="83" w:type="dxa"/>
            <w:tcBorders/>
            <w:vAlign w:val="center"/>
          </w:tcPr>
          <w:p>
            <w:pPr>
              <w:pStyle w:val="TableContents"/>
              <w:bidi w:val="0"/>
              <w:spacing w:before="0" w:after="283"/>
              <w:jc w:val="left"/>
              <w:rPr/>
            </w:pPr>
            <w:r>
              <w:rPr/>
              <w:t> </w:t>
            </w:r>
          </w:p>
        </w:tc>
      </w:tr>
      <w:tr>
        <w:trPr/>
        <w:tc>
          <w:tcPr>
            <w:tcW w:w="64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r>
      <w:tr>
        <w:trPr/>
        <w:tc>
          <w:tcPr>
            <w:tcW w:w="64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340,738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340,738</w:t>
            </w:r>
          </w:p>
        </w:tc>
        <w:tc>
          <w:tcPr>
            <w:tcW w:w="83" w:type="dxa"/>
            <w:tcBorders/>
            <w:shd w:fill="CCEEFF" w:val="clear"/>
            <w:vAlign w:val="center"/>
          </w:tcPr>
          <w:p>
            <w:pPr>
              <w:pStyle w:val="TableContents"/>
              <w:bidi w:val="0"/>
              <w:spacing w:before="0" w:after="283"/>
              <w:jc w:val="left"/>
              <w:rPr/>
            </w:pPr>
            <w:r>
              <w:rPr/>
              <w:t> </w:t>
            </w:r>
          </w:p>
        </w:tc>
      </w:tr>
      <w:tr>
        <w:trPr/>
        <w:tc>
          <w:tcPr>
            <w:tcW w:w="64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246,433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245,236</w:t>
            </w:r>
          </w:p>
        </w:tc>
        <w:tc>
          <w:tcPr>
            <w:tcW w:w="83" w:type="dxa"/>
            <w:tcBorders/>
            <w:shd w:fill="FFFFFF" w:val="clear"/>
            <w:vAlign w:val="center"/>
          </w:tcPr>
          <w:p>
            <w:pPr>
              <w:pStyle w:val="TableContents"/>
              <w:bidi w:val="0"/>
              <w:spacing w:before="0" w:after="283"/>
              <w:jc w:val="left"/>
              <w:rPr/>
            </w:pPr>
            <w:r>
              <w:rPr/>
              <w:t> </w:t>
            </w:r>
          </w:p>
        </w:tc>
      </w:tr>
      <w:tr>
        <w:trPr/>
        <w:tc>
          <w:tcPr>
            <w:tcW w:w="64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 - other</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w:t>
            </w:r>
          </w:p>
        </w:tc>
        <w:tc>
          <w:tcPr>
            <w:tcW w:w="83" w:type="dxa"/>
            <w:tcBorders/>
            <w:shd w:fill="CCEEFF" w:val="clear"/>
            <w:vAlign w:val="center"/>
          </w:tcPr>
          <w:p>
            <w:pPr>
              <w:pStyle w:val="TableContents"/>
              <w:bidi w:val="0"/>
              <w:spacing w:before="0" w:after="283"/>
              <w:jc w:val="left"/>
              <w:rPr/>
            </w:pPr>
            <w:r>
              <w:rPr/>
              <w:t> </w:t>
            </w:r>
          </w:p>
        </w:tc>
      </w:tr>
      <w:tr>
        <w:trPr/>
        <w:tc>
          <w:tcPr>
            <w:tcW w:w="64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93,923</w:t>
            </w:r>
          </w:p>
        </w:tc>
        <w:tc>
          <w:tcPr>
            <w:tcW w:w="83" w:type="dxa"/>
            <w:tcBorders/>
            <w:shd w:fill="FFFFFF" w:val="clear"/>
            <w:vAlign w:val="center"/>
          </w:tcPr>
          <w:p>
            <w:pPr>
              <w:pStyle w:val="TableContents"/>
              <w:bidi w:val="0"/>
              <w:spacing w:before="0" w:after="283"/>
              <w:jc w:val="left"/>
              <w:rPr/>
            </w:pPr>
            <w:r>
              <w:rPr/>
              <w:t> </w:t>
            </w:r>
          </w:p>
        </w:tc>
      </w:tr>
      <w:tr>
        <w:trPr/>
        <w:tc>
          <w:tcPr>
            <w:tcW w:w="64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64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engineering and administrative expenses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82,431</w:t>
            </w:r>
          </w:p>
        </w:tc>
        <w:tc>
          <w:tcPr>
            <w:tcW w:w="83" w:type="dxa"/>
            <w:tcBorders/>
            <w:shd w:fill="FFFFFF" w:val="clear"/>
            <w:vAlign w:val="center"/>
          </w:tcPr>
          <w:p>
            <w:pPr>
              <w:pStyle w:val="TableContents"/>
              <w:bidi w:val="0"/>
              <w:spacing w:before="0" w:after="283"/>
              <w:jc w:val="left"/>
              <w:rPr/>
            </w:pPr>
            <w:r>
              <w:rPr/>
              <w:t> </w:t>
            </w:r>
          </w:p>
        </w:tc>
      </w:tr>
      <w:tr>
        <w:trPr/>
        <w:tc>
          <w:tcPr>
            <w:tcW w:w="64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expenses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83" w:type="dxa"/>
            <w:tcBorders/>
            <w:shd w:fill="CCEEFF" w:val="clear"/>
            <w:vAlign w:val="center"/>
          </w:tcPr>
          <w:p>
            <w:pPr>
              <w:pStyle w:val="TableContents"/>
              <w:bidi w:val="0"/>
              <w:spacing w:before="0" w:after="283"/>
              <w:jc w:val="left"/>
              <w:rPr/>
            </w:pPr>
            <w:r>
              <w:rPr/>
              <w:t> </w:t>
            </w:r>
          </w:p>
        </w:tc>
      </w:tr>
      <w:tr>
        <w:trPr/>
        <w:tc>
          <w:tcPr>
            <w:tcW w:w="64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income</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r>
      <w:tr>
        <w:trPr/>
        <w:tc>
          <w:tcPr>
            <w:tcW w:w="64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11,084</w:t>
            </w:r>
          </w:p>
        </w:tc>
        <w:tc>
          <w:tcPr>
            <w:tcW w:w="83" w:type="dxa"/>
            <w:tcBorders/>
            <w:shd w:fill="CCEEFF" w:val="clear"/>
            <w:vAlign w:val="center"/>
          </w:tcPr>
          <w:p>
            <w:pPr>
              <w:pStyle w:val="TableContents"/>
              <w:bidi w:val="0"/>
              <w:spacing w:before="0" w:after="283"/>
              <w:jc w:val="left"/>
              <w:rPr/>
            </w:pPr>
            <w:r>
              <w:rPr/>
              <w:t> </w:t>
            </w:r>
          </w:p>
        </w:tc>
      </w:tr>
      <w:tr>
        <w:trPr/>
        <w:tc>
          <w:tcPr>
            <w:tcW w:w="64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64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643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3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(5,472</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(8,118</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income taxes and noncontrolling interest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2,966</w:t>
            </w:r>
          </w:p>
        </w:tc>
        <w:tc>
          <w:tcPr>
            <w:tcW w:w="83" w:type="dxa"/>
            <w:tcBorders/>
            <w:shd w:fill="CCEEFF" w:val="clear"/>
            <w:vAlign w:val="center"/>
          </w:tcPr>
          <w:p>
            <w:pPr>
              <w:pStyle w:val="TableContents"/>
              <w:bidi w:val="0"/>
              <w:spacing w:before="0" w:after="283"/>
              <w:jc w:val="left"/>
              <w:rPr/>
            </w:pPr>
            <w:r>
              <w:rPr/>
              <w:t> </w:t>
            </w:r>
          </w:p>
        </w:tc>
      </w:tr>
      <w:tr>
        <w:trPr/>
        <w:tc>
          <w:tcPr>
            <w:tcW w:w="64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(expense)</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w:t>
            </w:r>
          </w:p>
        </w:tc>
        <w:tc>
          <w:tcPr>
            <w:tcW w:w="83" w:type="dxa"/>
            <w:tcBorders/>
            <w:shd w:fill="FFFFFF" w:val="clear"/>
            <w:vAlign w:val="center"/>
          </w:tcPr>
          <w:p>
            <w:pPr>
              <w:pStyle w:val="TableContents"/>
              <w:bidi w:val="0"/>
              <w:spacing w:before="0" w:after="283"/>
              <w:jc w:val="left"/>
              <w:rPr/>
            </w:pPr>
            <w:r>
              <w:rPr/>
              <w:t> </w:t>
            </w:r>
          </w:p>
        </w:tc>
      </w:tr>
      <w:tr>
        <w:trPr/>
        <w:tc>
          <w:tcPr>
            <w:tcW w:w="64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earnings (loss) attributable to noncontrolling interest, net of tax</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83" w:type="dxa"/>
            <w:tcBorders/>
            <w:shd w:fill="FFFFFF" w:val="clear"/>
            <w:vAlign w:val="center"/>
          </w:tcPr>
          <w:p>
            <w:pPr>
              <w:pStyle w:val="TableContents"/>
              <w:bidi w:val="0"/>
              <w:spacing w:before="0" w:after="283"/>
              <w:jc w:val="left"/>
              <w:rPr/>
            </w:pPr>
            <w:r>
              <w:rPr/>
              <w:t> </w:t>
            </w:r>
          </w:p>
        </w:tc>
      </w:tr>
      <w:tr>
        <w:trPr/>
        <w:tc>
          <w:tcPr>
            <w:tcW w:w="64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Twin Disc, Incorporated</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64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p>
        </w:tc>
        <w:tc>
          <w:tcPr>
            <w:tcW w:w="83" w:type="dxa"/>
            <w:tcBorders/>
            <w:shd w:fill="CCEEFF" w:val="clear"/>
            <w:vAlign w:val="center"/>
          </w:tcPr>
          <w:p>
            <w:pPr>
              <w:pStyle w:val="TableContents"/>
              <w:bidi w:val="0"/>
              <w:spacing w:before="0" w:after="283"/>
              <w:jc w:val="left"/>
              <w:rPr/>
            </w:pPr>
            <w:r>
              <w:rPr/>
              <w:t> </w:t>
            </w:r>
          </w:p>
        </w:tc>
      </w:tr>
      <w:tr>
        <w:trPr/>
        <w:tc>
          <w:tcPr>
            <w:tcW w:w="64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64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(loss) per share data:</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643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(loss) per share attributable to Twin Disc, Incorporated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3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(loss) per share attributable to Twin Disc, Incorporated common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64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data:</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643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shares outstanding</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13,856</w:t>
            </w:r>
          </w:p>
        </w:tc>
        <w:tc>
          <w:tcPr>
            <w:tcW w:w="83" w:type="dxa"/>
            <w:tcBorders/>
            <w:shd w:fill="FFFFFF" w:val="clear"/>
            <w:vAlign w:val="center"/>
          </w:tcPr>
          <w:p>
            <w:pPr>
              <w:pStyle w:val="TableContents"/>
              <w:bidi w:val="0"/>
              <w:spacing w:before="0" w:after="283"/>
              <w:jc w:val="left"/>
              <w:rPr/>
            </w:pPr>
            <w:r>
              <w:rPr/>
              <w:t> </w:t>
            </w:r>
          </w:p>
        </w:tc>
      </w:tr>
      <w:tr>
        <w:trPr/>
        <w:tc>
          <w:tcPr>
            <w:tcW w:w="643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shares outstanding</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13,856</w:t>
            </w:r>
          </w:p>
        </w:tc>
        <w:tc>
          <w:tcPr>
            <w:tcW w:w="83" w:type="dxa"/>
            <w:tcBorders/>
            <w:shd w:fill="CCEEFF" w:val="clear"/>
            <w:vAlign w:val="center"/>
          </w:tcPr>
          <w:p>
            <w:pPr>
              <w:pStyle w:val="TableContents"/>
              <w:bidi w:val="0"/>
              <w:spacing w:before="0" w:after="283"/>
              <w:jc w:val="left"/>
              <w:rPr/>
            </w:pPr>
            <w:r>
              <w:rPr/>
              <w:t> </w:t>
            </w:r>
          </w:p>
        </w:tc>
      </w:tr>
      <w:tr>
        <w:trPr/>
        <w:tc>
          <w:tcPr>
            <w:tcW w:w="64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64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643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3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 plan adjustments, net of income taxes of $13 and $8, respectively</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(3,399</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3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15,924</w:t>
            </w:r>
          </w:p>
        </w:tc>
        <w:tc>
          <w:tcPr>
            <w:tcW w:w="83" w:type="dxa"/>
            <w:tcBorders/>
            <w:shd w:fill="FFFFFF" w:val="clear"/>
            <w:vAlign w:val="center"/>
          </w:tcPr>
          <w:p>
            <w:pPr>
              <w:pStyle w:val="TableContents"/>
              <w:bidi w:val="0"/>
              <w:spacing w:before="0" w:after="283"/>
              <w:jc w:val="left"/>
              <w:rPr/>
            </w:pPr>
            <w:r>
              <w:rPr/>
              <w:t> </w:t>
            </w:r>
          </w:p>
        </w:tc>
      </w:tr>
      <w:tr>
        <w:trPr/>
        <w:tc>
          <w:tcPr>
            <w:tcW w:w="643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(loss) on hedges, net of income taxes of $0 and 235, respectively</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3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10,272</w:t>
            </w:r>
          </w:p>
        </w:tc>
        <w:tc>
          <w:tcPr>
            <w:tcW w:w="83" w:type="dxa"/>
            <w:tcBorders/>
            <w:shd w:fill="FFFFFF" w:val="clear"/>
            <w:vAlign w:val="center"/>
          </w:tcPr>
          <w:p>
            <w:pPr>
              <w:pStyle w:val="TableContents"/>
              <w:bidi w:val="0"/>
              <w:spacing w:before="0" w:after="283"/>
              <w:jc w:val="left"/>
              <w:rPr/>
            </w:pPr>
            <w:r>
              <w:rPr/>
              <w:t> </w:t>
            </w:r>
          </w:p>
        </w:tc>
      </w:tr>
      <w:tr>
        <w:trPr/>
        <w:tc>
          <w:tcPr>
            <w:tcW w:w="643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Comprehensive income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83" w:type="dxa"/>
            <w:tcBorders/>
            <w:shd w:fill="CCEEFF" w:val="clear"/>
            <w:vAlign w:val="center"/>
          </w:tcPr>
          <w:p>
            <w:pPr>
              <w:pStyle w:val="TableContents"/>
              <w:bidi w:val="0"/>
              <w:spacing w:before="0" w:after="283"/>
              <w:jc w:val="left"/>
              <w:rPr/>
            </w:pPr>
            <w:r>
              <w:rPr/>
              <w:t> </w:t>
            </w:r>
          </w:p>
        </w:tc>
      </w:tr>
      <w:tr>
        <w:trPr/>
        <w:tc>
          <w:tcPr>
            <w:tcW w:w="64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643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 attributable to Twin Disc, Incorporated</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9,938</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9887" w:type="dxa"/>
        <w:jc w:val="left"/>
        <w:tblInd w:w="0" w:type="dxa"/>
        <w:tblLayout w:type="fixed"/>
        <w:tblCellMar>
          <w:top w:w="0" w:type="dxa"/>
          <w:left w:w="0" w:type="dxa"/>
          <w:bottom w:w="0" w:type="dxa"/>
          <w:right w:w="0" w:type="dxa"/>
        </w:tblCellMar>
      </w:tblPr>
      <w:tblGrid>
        <w:gridCol w:w="6020"/>
        <w:gridCol w:w="60"/>
        <w:gridCol w:w="210"/>
        <w:gridCol w:w="1174"/>
        <w:gridCol w:w="60"/>
        <w:gridCol w:w="60"/>
        <w:gridCol w:w="178"/>
        <w:gridCol w:w="846"/>
        <w:gridCol w:w="60"/>
        <w:gridCol w:w="60"/>
        <w:gridCol w:w="167"/>
        <w:gridCol w:w="932"/>
        <w:gridCol w:w="60"/>
      </w:tblGrid>
      <w:tr>
        <w:trPr/>
        <w:tc>
          <w:tcPr>
            <w:tcW w:w="60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Consolidated Balance Sheet</w:t>
            </w:r>
          </w:p>
        </w:tc>
        <w:tc>
          <w:tcPr>
            <w:tcW w:w="60" w:type="dxa"/>
            <w:tcBorders/>
            <w:vAlign w:val="center"/>
          </w:tcPr>
          <w:p>
            <w:pPr>
              <w:pStyle w:val="TableContents"/>
              <w:bidi w:val="0"/>
              <w:spacing w:before="0" w:after="283"/>
              <w:ind w:left="0" w:right="0" w:hanging="0"/>
              <w:jc w:val="left"/>
              <w:rPr/>
            </w:pPr>
            <w:r>
              <w:rPr/>
              <w:t> </w:t>
            </w:r>
          </w:p>
        </w:tc>
        <w:tc>
          <w:tcPr>
            <w:tcW w:w="374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Computed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Under Previous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Method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Effect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Accounting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Reported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 New</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Method</w:t>
            </w:r>
          </w:p>
        </w:tc>
        <w:tc>
          <w:tcPr>
            <w:tcW w:w="6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16,109</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 net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58,941</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184,085</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19,914</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279,049</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69,576</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operating lease assets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17,250</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2,892</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13,361</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assets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2,812</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2,756</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387,696</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AND EQUITY</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long-term debt</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right-of-use operating lease obligations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3,393</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38,745</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80,655</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125,793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125,793</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28,446</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lease obligations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14,357</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retirement benefits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11,832</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liabilities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4,320</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6,423</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191,171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191,171</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Twin Disc, Incorporated shareholders' equity:</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shares authorized: 200,000; issued: none; no par value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shares authorized: 30,000,000; issued: 14,632,802; no par value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42,269</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157,548</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203,547</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treasury stock, at cost (482,181 and 637,778 shares, respectively)</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7,402</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Twin Disc, Incorporated shareholders' equity</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196,145</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equity</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196,525</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174"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387,696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454"/>
        <w:gridCol w:w="60"/>
        <w:gridCol w:w="183"/>
        <w:gridCol w:w="1109"/>
        <w:gridCol w:w="80"/>
        <w:gridCol w:w="60"/>
        <w:gridCol w:w="182"/>
        <w:gridCol w:w="798"/>
        <w:gridCol w:w="80"/>
        <w:gridCol w:w="60"/>
        <w:gridCol w:w="150"/>
        <w:gridCol w:w="908"/>
        <w:gridCol w:w="81"/>
      </w:tblGrid>
      <w:tr>
        <w:trPr/>
        <w:tc>
          <w:tcPr>
            <w:tcW w:w="6454"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Consolidated Statement of Cash Flows</w:t>
            </w:r>
          </w:p>
        </w:tc>
        <w:tc>
          <w:tcPr>
            <w:tcW w:w="60" w:type="dxa"/>
            <w:tcBorders/>
            <w:vAlign w:val="center"/>
          </w:tcPr>
          <w:p>
            <w:pPr>
              <w:pStyle w:val="TableContents"/>
              <w:bidi w:val="0"/>
              <w:spacing w:before="0" w:after="283"/>
              <w:ind w:left="0" w:right="0" w:hanging="0"/>
              <w:jc w:val="left"/>
              <w:rPr/>
            </w:pPr>
            <w:r>
              <w:rPr/>
              <w:t> </w:t>
            </w:r>
          </w:p>
        </w:tc>
        <w:tc>
          <w:tcPr>
            <w:tcW w:w="361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81" w:type="dxa"/>
            <w:tcBorders/>
            <w:vAlign w:val="center"/>
          </w:tcPr>
          <w:p>
            <w:pPr>
              <w:pStyle w:val="TableContents"/>
              <w:bidi w:val="0"/>
              <w:spacing w:before="0" w:after="283"/>
              <w:jc w:val="left"/>
              <w:rPr/>
            </w:pPr>
            <w:r>
              <w:rPr/>
              <w:t> </w:t>
            </w:r>
          </w:p>
        </w:tc>
      </w:tr>
      <w:tr>
        <w:trPr/>
        <w:tc>
          <w:tcPr>
            <w:tcW w:w="64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Computed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Under Previous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Method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Effect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Accounting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Reported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Under New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Method</w:t>
            </w:r>
          </w:p>
        </w:tc>
        <w:tc>
          <w:tcPr>
            <w:tcW w:w="81" w:type="dxa"/>
            <w:tcBorders/>
            <w:vAlign w:val="center"/>
          </w:tcPr>
          <w:p>
            <w:pPr>
              <w:pStyle w:val="TableContents"/>
              <w:bidi w:val="0"/>
              <w:spacing w:before="0" w:after="283"/>
              <w:jc w:val="left"/>
              <w:rPr/>
            </w:pPr>
            <w:r>
              <w:rPr/>
              <w:t> </w:t>
            </w:r>
          </w:p>
        </w:tc>
      </w:tr>
      <w:tr>
        <w:trPr/>
        <w:tc>
          <w:tcPr>
            <w:tcW w:w="64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64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64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(loss) to net cash provided (used) by operating activities: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645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14,899</w:t>
            </w:r>
          </w:p>
        </w:tc>
        <w:tc>
          <w:tcPr>
            <w:tcW w:w="81" w:type="dxa"/>
            <w:tcBorders/>
            <w:shd w:fill="FFFFFF" w:val="clear"/>
            <w:vAlign w:val="center"/>
          </w:tcPr>
          <w:p>
            <w:pPr>
              <w:pStyle w:val="TableContents"/>
              <w:bidi w:val="0"/>
              <w:spacing w:before="0" w:after="283"/>
              <w:jc w:val="left"/>
              <w:rPr/>
            </w:pPr>
            <w:r>
              <w:rPr/>
              <w:t> </w:t>
            </w:r>
          </w:p>
        </w:tc>
      </w:tr>
      <w:tr>
        <w:trPr/>
        <w:tc>
          <w:tcPr>
            <w:tcW w:w="645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assets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write-down of industrial product inventory</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w:t>
            </w:r>
          </w:p>
        </w:tc>
        <w:tc>
          <w:tcPr>
            <w:tcW w:w="81" w:type="dxa"/>
            <w:tcBorders/>
            <w:shd w:fill="FFFFFF" w:val="clear"/>
            <w:vAlign w:val="center"/>
          </w:tcPr>
          <w:p>
            <w:pPr>
              <w:pStyle w:val="TableContents"/>
              <w:bidi w:val="0"/>
              <w:spacing w:before="0" w:after="283"/>
              <w:jc w:val="left"/>
              <w:rPr/>
            </w:pPr>
            <w:r>
              <w:rPr/>
              <w:t> </w:t>
            </w:r>
          </w:p>
        </w:tc>
      </w:tr>
      <w:tr>
        <w:trPr/>
        <w:tc>
          <w:tcPr>
            <w:tcW w:w="645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1" w:type="dxa"/>
            <w:tcBorders/>
            <w:shd w:fill="CCEEFF" w:val="clear"/>
            <w:vAlign w:val="center"/>
          </w:tcPr>
          <w:p>
            <w:pPr>
              <w:pStyle w:val="TableContents"/>
              <w:bidi w:val="0"/>
              <w:spacing w:before="0" w:after="283"/>
              <w:jc w:val="left"/>
              <w:rPr/>
            </w:pPr>
            <w:r>
              <w:rPr/>
              <w:t> </w:t>
            </w:r>
          </w:p>
        </w:tc>
      </w:tr>
      <w:tr>
        <w:trPr/>
        <w:tc>
          <w:tcPr>
            <w:tcW w:w="645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deferred income taxes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(1,581</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compensation expense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w:t>
            </w:r>
          </w:p>
        </w:tc>
        <w:tc>
          <w:tcPr>
            <w:tcW w:w="81" w:type="dxa"/>
            <w:tcBorders/>
            <w:shd w:fill="CCEEFF" w:val="clear"/>
            <w:vAlign w:val="center"/>
          </w:tcPr>
          <w:p>
            <w:pPr>
              <w:pStyle w:val="TableContents"/>
              <w:bidi w:val="0"/>
              <w:spacing w:before="0" w:after="283"/>
              <w:jc w:val="left"/>
              <w:rPr/>
            </w:pPr>
            <w:r>
              <w:rPr/>
              <w:t> </w:t>
            </w:r>
          </w:p>
        </w:tc>
      </w:tr>
      <w:tr>
        <w:trPr/>
        <w:tc>
          <w:tcPr>
            <w:tcW w:w="645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w:t>
            </w:r>
          </w:p>
        </w:tc>
        <w:tc>
          <w:tcPr>
            <w:tcW w:w="81" w:type="dxa"/>
            <w:tcBorders/>
            <w:shd w:fill="FFFFFF" w:val="clear"/>
            <w:vAlign w:val="center"/>
          </w:tcPr>
          <w:p>
            <w:pPr>
              <w:pStyle w:val="TableContents"/>
              <w:bidi w:val="0"/>
              <w:spacing w:before="0" w:after="283"/>
              <w:jc w:val="left"/>
              <w:rPr/>
            </w:pPr>
            <w:r>
              <w:rPr/>
              <w:t> </w:t>
            </w:r>
          </w:p>
        </w:tc>
      </w:tr>
      <w:tr>
        <w:trPr/>
        <w:tc>
          <w:tcPr>
            <w:tcW w:w="645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r>
      <w:tr>
        <w:trPr/>
        <w:tc>
          <w:tcPr>
            <w:tcW w:w="6454"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 net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(2,032</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4"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(10,927</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4"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2,748</w:t>
            </w:r>
          </w:p>
        </w:tc>
        <w:tc>
          <w:tcPr>
            <w:tcW w:w="81" w:type="dxa"/>
            <w:tcBorders/>
            <w:shd w:fill="FFFFFF" w:val="clear"/>
            <w:vAlign w:val="center"/>
          </w:tcPr>
          <w:p>
            <w:pPr>
              <w:pStyle w:val="TableContents"/>
              <w:bidi w:val="0"/>
              <w:spacing w:before="0" w:after="283"/>
              <w:jc w:val="left"/>
              <w:rPr/>
            </w:pPr>
            <w:r>
              <w:rPr/>
              <w:t> </w:t>
            </w:r>
          </w:p>
        </w:tc>
      </w:tr>
      <w:tr>
        <w:trPr/>
        <w:tc>
          <w:tcPr>
            <w:tcW w:w="6454"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2,414</w:t>
            </w:r>
          </w:p>
        </w:tc>
        <w:tc>
          <w:tcPr>
            <w:tcW w:w="81" w:type="dxa"/>
            <w:tcBorders/>
            <w:shd w:fill="CCEEFF" w:val="clear"/>
            <w:vAlign w:val="center"/>
          </w:tcPr>
          <w:p>
            <w:pPr>
              <w:pStyle w:val="TableContents"/>
              <w:bidi w:val="0"/>
              <w:spacing w:before="0" w:after="283"/>
              <w:jc w:val="left"/>
              <w:rPr/>
            </w:pPr>
            <w:r>
              <w:rPr/>
              <w:t> </w:t>
            </w:r>
          </w:p>
        </w:tc>
      </w:tr>
      <w:tr>
        <w:trPr/>
        <w:tc>
          <w:tcPr>
            <w:tcW w:w="6454"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12,463</w:t>
            </w:r>
          </w:p>
        </w:tc>
        <w:tc>
          <w:tcPr>
            <w:tcW w:w="81" w:type="dxa"/>
            <w:tcBorders/>
            <w:shd w:fill="FFFFFF" w:val="clear"/>
            <w:vAlign w:val="center"/>
          </w:tcPr>
          <w:p>
            <w:pPr>
              <w:pStyle w:val="TableContents"/>
              <w:bidi w:val="0"/>
              <w:spacing w:before="0" w:after="283"/>
              <w:jc w:val="left"/>
              <w:rPr/>
            </w:pPr>
            <w:r>
              <w:rPr/>
              <w:t> </w:t>
            </w:r>
          </w:p>
        </w:tc>
      </w:tr>
      <w:tr>
        <w:trPr/>
        <w:tc>
          <w:tcPr>
            <w:tcW w:w="6454"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retirement benefits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(used) by operating activities</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23,979</w:t>
            </w:r>
          </w:p>
        </w:tc>
        <w:tc>
          <w:tcPr>
            <w:tcW w:w="81" w:type="dxa"/>
            <w:tcBorders/>
            <w:shd w:fill="FFFFFF" w:val="clear"/>
            <w:vAlign w:val="center"/>
          </w:tcPr>
          <w:p>
            <w:pPr>
              <w:pStyle w:val="TableContents"/>
              <w:bidi w:val="0"/>
              <w:spacing w:before="0" w:after="283"/>
              <w:jc w:val="left"/>
              <w:rPr/>
            </w:pPr>
            <w:r>
              <w:rPr/>
              <w:t> </w:t>
            </w:r>
          </w:p>
        </w:tc>
      </w:tr>
      <w:tr>
        <w:trPr/>
        <w:tc>
          <w:tcPr>
            <w:tcW w:w="64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64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64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property, plant, and equipment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(15,157</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Kobelt, less cash acquired</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(17,236</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property, plant, and equipment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81" w:type="dxa"/>
            <w:tcBorders/>
            <w:shd w:fill="CCEEFF" w:val="clear"/>
            <w:vAlign w:val="center"/>
          </w:tcPr>
          <w:p>
            <w:pPr>
              <w:pStyle w:val="TableContents"/>
              <w:bidi w:val="0"/>
              <w:spacing w:before="0" w:after="283"/>
              <w:jc w:val="left"/>
              <w:rPr/>
            </w:pPr>
            <w:r>
              <w:rPr/>
              <w:t> </w:t>
            </w:r>
          </w:p>
        </w:tc>
      </w:tr>
      <w:tr>
        <w:trPr/>
        <w:tc>
          <w:tcPr>
            <w:tcW w:w="64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(used) by investing activities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(32,899</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64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64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long-term debt agreement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81" w:type="dxa"/>
            <w:tcBorders/>
            <w:shd w:fill="FFFFFF" w:val="clear"/>
            <w:vAlign w:val="center"/>
          </w:tcPr>
          <w:p>
            <w:pPr>
              <w:pStyle w:val="TableContents"/>
              <w:bidi w:val="0"/>
              <w:spacing w:before="0" w:after="283"/>
              <w:jc w:val="left"/>
              <w:rPr/>
            </w:pPr>
            <w:r>
              <w:rPr/>
              <w:t> </w:t>
            </w:r>
          </w:p>
        </w:tc>
      </w:tr>
      <w:tr>
        <w:trPr/>
        <w:tc>
          <w:tcPr>
            <w:tcW w:w="64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revolving loan arrangements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122,264</w:t>
            </w:r>
          </w:p>
        </w:tc>
        <w:tc>
          <w:tcPr>
            <w:tcW w:w="81" w:type="dxa"/>
            <w:tcBorders/>
            <w:shd w:fill="CCEEFF" w:val="clear"/>
            <w:vAlign w:val="center"/>
          </w:tcPr>
          <w:p>
            <w:pPr>
              <w:pStyle w:val="TableContents"/>
              <w:bidi w:val="0"/>
              <w:spacing w:before="0" w:after="283"/>
              <w:jc w:val="left"/>
              <w:rPr/>
            </w:pPr>
            <w:r>
              <w:rPr/>
              <w:t> </w:t>
            </w:r>
          </w:p>
        </w:tc>
      </w:tr>
      <w:tr>
        <w:trPr/>
        <w:tc>
          <w:tcPr>
            <w:tcW w:w="64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revolving loan arrangements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(122,264</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other long-term debt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right-of-use finance lease obligations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to shareholders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to noncontrolling interest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withholding taxes on stock compensation</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(1,256</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64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(used) by financing activities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64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5,924</w:t>
            </w:r>
          </w:p>
        </w:tc>
        <w:tc>
          <w:tcPr>
            <w:tcW w:w="81" w:type="dxa"/>
            <w:tcBorders/>
            <w:shd w:fill="CCEEFF" w:val="clear"/>
            <w:vAlign w:val="center"/>
          </w:tcPr>
          <w:p>
            <w:pPr>
              <w:pStyle w:val="TableContents"/>
              <w:bidi w:val="0"/>
              <w:spacing w:before="0" w:after="283"/>
              <w:jc w:val="left"/>
              <w:rPr/>
            </w:pPr>
            <w:r>
              <w:rPr/>
              <w:t> </w:t>
            </w:r>
          </w:p>
        </w:tc>
      </w:tr>
      <w:tr>
        <w:trPr/>
        <w:tc>
          <w:tcPr>
            <w:tcW w:w="64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(3,961</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64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64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20,070</w:t>
            </w:r>
          </w:p>
        </w:tc>
        <w:tc>
          <w:tcPr>
            <w:tcW w:w="81" w:type="dxa"/>
            <w:tcBorders/>
            <w:shd w:fill="CCEEFF" w:val="clear"/>
            <w:vAlign w:val="center"/>
          </w:tcPr>
          <w:p>
            <w:pPr>
              <w:pStyle w:val="TableContents"/>
              <w:bidi w:val="0"/>
              <w:spacing w:before="0" w:after="283"/>
              <w:jc w:val="left"/>
              <w:rPr/>
            </w:pPr>
            <w:r>
              <w:rPr/>
              <w:t> </w:t>
            </w:r>
          </w:p>
        </w:tc>
      </w:tr>
      <w:tr>
        <w:trPr/>
        <w:tc>
          <w:tcPr>
            <w:tcW w:w="64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64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16,109</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7797" w:type="dxa"/>
        <w:jc w:val="left"/>
        <w:tblInd w:w="0" w:type="dxa"/>
        <w:tblLayout w:type="fixed"/>
        <w:tblCellMar>
          <w:top w:w="0" w:type="dxa"/>
          <w:left w:w="0" w:type="dxa"/>
          <w:bottom w:w="0" w:type="dxa"/>
          <w:right w:w="0" w:type="dxa"/>
        </w:tblCellMar>
      </w:tblPr>
      <w:tblGrid>
        <w:gridCol w:w="3890"/>
        <w:gridCol w:w="60"/>
        <w:gridCol w:w="210"/>
        <w:gridCol w:w="1174"/>
        <w:gridCol w:w="80"/>
        <w:gridCol w:w="60"/>
        <w:gridCol w:w="178"/>
        <w:gridCol w:w="846"/>
        <w:gridCol w:w="60"/>
        <w:gridCol w:w="60"/>
        <w:gridCol w:w="167"/>
        <w:gridCol w:w="932"/>
        <w:gridCol w:w="80"/>
      </w:tblGrid>
      <w:tr>
        <w:trPr/>
        <w:tc>
          <w:tcPr>
            <w:tcW w:w="38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Consolidated Statements of Changes in Equity</w:t>
            </w:r>
          </w:p>
        </w:tc>
        <w:tc>
          <w:tcPr>
            <w:tcW w:w="60" w:type="dxa"/>
            <w:tcBorders/>
            <w:vAlign w:val="center"/>
          </w:tcPr>
          <w:p>
            <w:pPr>
              <w:pStyle w:val="TableContents"/>
              <w:bidi w:val="0"/>
              <w:spacing w:before="0" w:after="283"/>
              <w:ind w:left="0" w:right="0" w:hanging="0"/>
              <w:jc w:val="left"/>
              <w:rPr/>
            </w:pPr>
            <w:r>
              <w:rPr/>
              <w:t> </w:t>
            </w:r>
          </w:p>
        </w:tc>
        <w:tc>
          <w:tcPr>
            <w:tcW w:w="376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8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Computed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Under Previous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Method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Effect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Accounting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Reported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Under New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Method</w:t>
            </w:r>
          </w:p>
        </w:tc>
        <w:tc>
          <w:tcPr>
            <w:tcW w:w="8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2024</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160,529</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Twin Disc</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to shareholders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157,548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As a result of the retrospective application of the change in accounting principle, the following financial statement line items within the unaudited interim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quarterly condensed consolidated financial statements were adjusted,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4"/>
        <w:gridCol w:w="60"/>
        <w:gridCol w:w="102"/>
        <w:gridCol w:w="546"/>
        <w:gridCol w:w="60"/>
        <w:gridCol w:w="60"/>
        <w:gridCol w:w="126"/>
        <w:gridCol w:w="569"/>
        <w:gridCol w:w="60"/>
        <w:gridCol w:w="60"/>
        <w:gridCol w:w="97"/>
        <w:gridCol w:w="511"/>
        <w:gridCol w:w="60"/>
        <w:gridCol w:w="60"/>
        <w:gridCol w:w="102"/>
        <w:gridCol w:w="546"/>
        <w:gridCol w:w="60"/>
        <w:gridCol w:w="60"/>
        <w:gridCol w:w="126"/>
        <w:gridCol w:w="569"/>
        <w:gridCol w:w="65"/>
        <w:gridCol w:w="60"/>
        <w:gridCol w:w="97"/>
        <w:gridCol w:w="511"/>
        <w:gridCol w:w="60"/>
        <w:gridCol w:w="60"/>
        <w:gridCol w:w="102"/>
        <w:gridCol w:w="546"/>
        <w:gridCol w:w="60"/>
        <w:gridCol w:w="60"/>
        <w:gridCol w:w="126"/>
        <w:gridCol w:w="569"/>
        <w:gridCol w:w="65"/>
        <w:gridCol w:w="60"/>
        <w:gridCol w:w="97"/>
        <w:gridCol w:w="511"/>
        <w:gridCol w:w="60"/>
        <w:gridCol w:w="60"/>
        <w:gridCol w:w="102"/>
        <w:gridCol w:w="546"/>
        <w:gridCol w:w="60"/>
        <w:gridCol w:w="60"/>
        <w:gridCol w:w="126"/>
        <w:gridCol w:w="569"/>
        <w:gridCol w:w="65"/>
        <w:gridCol w:w="60"/>
        <w:gridCol w:w="97"/>
        <w:gridCol w:w="511"/>
        <w:gridCol w:w="82"/>
      </w:tblGrid>
      <w:tr>
        <w:trPr/>
        <w:tc>
          <w:tcPr>
            <w:tcW w:w="9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39" w:type="dxa"/>
            <w:gridSpan w:val="4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For the Quarter Ended</w:t>
            </w:r>
          </w:p>
        </w:tc>
        <w:tc>
          <w:tcPr>
            <w:tcW w:w="82" w:type="dxa"/>
            <w:tcBorders/>
            <w:vAlign w:val="center"/>
          </w:tcPr>
          <w:p>
            <w:pPr>
              <w:pStyle w:val="TableContents"/>
              <w:bidi w:val="0"/>
              <w:spacing w:before="0" w:after="283"/>
              <w:jc w:val="left"/>
              <w:rPr/>
            </w:pPr>
            <w:r>
              <w:rPr/>
              <w:t> </w:t>
            </w:r>
          </w:p>
        </w:tc>
      </w:tr>
      <w:tr>
        <w:trPr/>
        <w:tc>
          <w:tcPr>
            <w:tcW w:w="924"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Consolidated Balance Sheets</w:t>
            </w:r>
          </w:p>
        </w:tc>
        <w:tc>
          <w:tcPr>
            <w:tcW w:w="60" w:type="dxa"/>
            <w:tcBorders/>
            <w:vAlign w:val="center"/>
          </w:tcPr>
          <w:p>
            <w:pPr>
              <w:pStyle w:val="TableContents"/>
              <w:bidi w:val="0"/>
              <w:spacing w:before="0" w:after="283"/>
              <w:ind w:left="0" w:right="0" w:hanging="0"/>
              <w:jc w:val="left"/>
              <w:rPr/>
            </w:pPr>
            <w:r>
              <w:rPr/>
              <w:t> </w:t>
            </w:r>
          </w:p>
        </w:tc>
        <w:tc>
          <w:tcPr>
            <w:tcW w:w="219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26,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96"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December 26,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96"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27,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96"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June 30, 2026</w:t>
            </w:r>
          </w:p>
        </w:tc>
        <w:tc>
          <w:tcPr>
            <w:tcW w:w="82" w:type="dxa"/>
            <w:tcBorders/>
            <w:vAlign w:val="center"/>
          </w:tcPr>
          <w:p>
            <w:pPr>
              <w:pStyle w:val="TableContents"/>
              <w:bidi w:val="0"/>
              <w:spacing w:before="0" w:after="283"/>
              <w:jc w:val="left"/>
              <w:rPr/>
            </w:pPr>
            <w:r>
              <w:rPr/>
              <w:t> </w:t>
            </w:r>
          </w:p>
        </w:tc>
      </w:tr>
      <w:tr>
        <w:trPr/>
        <w:tc>
          <w:tcPr>
            <w:tcW w:w="9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Computed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Previous</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Effect of</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Accounting</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Change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Reported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New</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Computed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Previous</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Effect of</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Accounting</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Change</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Reported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New</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Computed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Previous</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Effect of</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Accounting</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Change</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Reported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New</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Computed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Previous</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Effect of</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Accounting</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Change</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Reported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New</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82" w:type="dxa"/>
            <w:tcBorders/>
            <w:vAlign w:val="center"/>
          </w:tcPr>
          <w:p>
            <w:pPr>
              <w:pStyle w:val="TableContents"/>
              <w:bidi w:val="0"/>
              <w:spacing w:before="0" w:after="283"/>
              <w:jc w:val="left"/>
              <w:rPr/>
            </w:pPr>
            <w:r>
              <w:rPr/>
              <w:t> </w:t>
            </w:r>
          </w:p>
        </w:tc>
      </w:tr>
      <w:tr>
        <w:trPr/>
        <w:tc>
          <w:tcPr>
            <w:tcW w:w="92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Inventories, net</w:t>
            </w:r>
          </w:p>
        </w:tc>
        <w:tc>
          <w:tcPr>
            <w:tcW w:w="60" w:type="dxa"/>
            <w:tcBorders/>
            <w:shd w:fill="CCEEFF" w:val="clear"/>
            <w:vAlign w:val="center"/>
          </w:tcPr>
          <w:p>
            <w:pPr>
              <w:pStyle w:val="TableContents"/>
              <w:bidi w:val="0"/>
              <w:spacing w:before="0" w:after="283"/>
              <w:ind w:left="0" w:right="0" w:hanging="0"/>
              <w:jc w:val="left"/>
              <w:rPr/>
            </w:pPr>
            <w:r>
              <w:rPr/>
              <w:t> </w:t>
            </w:r>
          </w:p>
        </w:tc>
        <w:tc>
          <w:tcPr>
            <w:tcW w:w="10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158,272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7"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190,406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163,177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32,134</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7"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195,311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160,331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32,134</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7"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192,465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145,407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32,621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7"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178,028</w:t>
            </w:r>
          </w:p>
        </w:tc>
        <w:tc>
          <w:tcPr>
            <w:tcW w:w="82" w:type="dxa"/>
            <w:tcBorders/>
            <w:shd w:fill="CCEEFF" w:val="clear"/>
            <w:vAlign w:val="center"/>
          </w:tcPr>
          <w:p>
            <w:pPr>
              <w:pStyle w:val="TableContents"/>
              <w:bidi w:val="0"/>
              <w:spacing w:before="0" w:after="283"/>
              <w:jc w:val="left"/>
              <w:rPr/>
            </w:pPr>
            <w:r>
              <w:rPr/>
              <w:t> </w:t>
            </w:r>
          </w:p>
        </w:tc>
      </w:tr>
      <w:tr>
        <w:trPr/>
        <w:tc>
          <w:tcPr>
            <w:tcW w:w="92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Deferred income tax assets</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(7,462</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(7,462</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19,786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28,669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(7,576</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21,093</w:t>
            </w:r>
          </w:p>
        </w:tc>
        <w:tc>
          <w:tcPr>
            <w:tcW w:w="82" w:type="dxa"/>
            <w:tcBorders/>
            <w:shd w:fill="FFFFFF" w:val="clear"/>
            <w:vAlign w:val="center"/>
          </w:tcPr>
          <w:p>
            <w:pPr>
              <w:pStyle w:val="TableContents"/>
              <w:bidi w:val="0"/>
              <w:spacing w:before="0" w:after="283"/>
              <w:jc w:val="left"/>
              <w:rPr/>
            </w:pPr>
            <w:r>
              <w:rPr/>
              <w:t> </w:t>
            </w:r>
          </w:p>
        </w:tc>
      </w:tr>
      <w:tr>
        <w:trPr/>
        <w:tc>
          <w:tcPr>
            <w:tcW w:w="92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Retained earnings</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124,330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156,464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146,130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24,672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170,802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148,875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24,672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173,547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157,295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25,045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182,340</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29"/>
        <w:gridCol w:w="60"/>
        <w:gridCol w:w="102"/>
        <w:gridCol w:w="548"/>
        <w:gridCol w:w="60"/>
        <w:gridCol w:w="60"/>
        <w:gridCol w:w="126"/>
        <w:gridCol w:w="569"/>
        <w:gridCol w:w="60"/>
        <w:gridCol w:w="60"/>
        <w:gridCol w:w="97"/>
        <w:gridCol w:w="511"/>
        <w:gridCol w:w="60"/>
        <w:gridCol w:w="60"/>
        <w:gridCol w:w="102"/>
        <w:gridCol w:w="548"/>
        <w:gridCol w:w="60"/>
        <w:gridCol w:w="60"/>
        <w:gridCol w:w="126"/>
        <w:gridCol w:w="569"/>
        <w:gridCol w:w="60"/>
        <w:gridCol w:w="60"/>
        <w:gridCol w:w="97"/>
        <w:gridCol w:w="511"/>
        <w:gridCol w:w="60"/>
        <w:gridCol w:w="60"/>
        <w:gridCol w:w="102"/>
        <w:gridCol w:w="548"/>
        <w:gridCol w:w="60"/>
        <w:gridCol w:w="60"/>
        <w:gridCol w:w="126"/>
        <w:gridCol w:w="569"/>
        <w:gridCol w:w="60"/>
        <w:gridCol w:w="60"/>
        <w:gridCol w:w="97"/>
        <w:gridCol w:w="511"/>
        <w:gridCol w:w="60"/>
        <w:gridCol w:w="60"/>
        <w:gridCol w:w="102"/>
        <w:gridCol w:w="548"/>
        <w:gridCol w:w="60"/>
        <w:gridCol w:w="60"/>
        <w:gridCol w:w="126"/>
        <w:gridCol w:w="569"/>
        <w:gridCol w:w="60"/>
        <w:gridCol w:w="60"/>
        <w:gridCol w:w="97"/>
        <w:gridCol w:w="511"/>
        <w:gridCol w:w="84"/>
      </w:tblGrid>
      <w:tr>
        <w:trPr/>
        <w:tc>
          <w:tcPr>
            <w:tcW w:w="9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32" w:type="dxa"/>
            <w:gridSpan w:val="4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For the Quarter Ended</w:t>
            </w:r>
          </w:p>
        </w:tc>
        <w:tc>
          <w:tcPr>
            <w:tcW w:w="84" w:type="dxa"/>
            <w:tcBorders/>
            <w:vAlign w:val="center"/>
          </w:tcPr>
          <w:p>
            <w:pPr>
              <w:pStyle w:val="TableContents"/>
              <w:bidi w:val="0"/>
              <w:spacing w:before="0" w:after="283"/>
              <w:jc w:val="left"/>
              <w:rPr/>
            </w:pPr>
            <w:r>
              <w:rPr/>
              <w:t> </w:t>
            </w:r>
          </w:p>
        </w:tc>
      </w:tr>
      <w:tr>
        <w:trPr/>
        <w:tc>
          <w:tcPr>
            <w:tcW w:w="929"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Consolidated Balance Sheets</w:t>
            </w:r>
          </w:p>
        </w:tc>
        <w:tc>
          <w:tcPr>
            <w:tcW w:w="60" w:type="dxa"/>
            <w:tcBorders/>
            <w:vAlign w:val="center"/>
          </w:tcPr>
          <w:p>
            <w:pPr>
              <w:pStyle w:val="TableContents"/>
              <w:bidi w:val="0"/>
              <w:spacing w:before="0" w:after="283"/>
              <w:ind w:left="0" w:right="0" w:hanging="0"/>
              <w:jc w:val="left"/>
              <w:rPr/>
            </w:pPr>
            <w:r>
              <w:rPr/>
              <w:t> </w:t>
            </w:r>
          </w:p>
        </w:tc>
        <w:tc>
          <w:tcPr>
            <w:tcW w:w="219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27,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9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December 27,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9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28,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9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June 30, 2025</w:t>
            </w:r>
          </w:p>
        </w:tc>
        <w:tc>
          <w:tcPr>
            <w:tcW w:w="84" w:type="dxa"/>
            <w:tcBorders/>
            <w:vAlign w:val="center"/>
          </w:tcPr>
          <w:p>
            <w:pPr>
              <w:pStyle w:val="TableContents"/>
              <w:bidi w:val="0"/>
              <w:spacing w:before="0" w:after="283"/>
              <w:jc w:val="left"/>
              <w:rPr/>
            </w:pPr>
            <w:r>
              <w:rPr/>
              <w:t> </w:t>
            </w:r>
          </w:p>
        </w:tc>
      </w:tr>
      <w:tr>
        <w:trPr/>
        <w:tc>
          <w:tcPr>
            <w:tcW w:w="9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Computed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Previous</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Effect of</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Accounting</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Change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Reported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New</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Computed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Previous</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Effect of</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Accounting</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Change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Reported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New</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Computed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Previous</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Effect of</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Accounting</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Change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Reported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New</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Computed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Previous</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Effect of</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Accounting</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Change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Reported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New</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84" w:type="dxa"/>
            <w:tcBorders/>
            <w:vAlign w:val="center"/>
          </w:tcPr>
          <w:p>
            <w:pPr>
              <w:pStyle w:val="TableContents"/>
              <w:bidi w:val="0"/>
              <w:spacing w:before="0" w:after="283"/>
              <w:jc w:val="left"/>
              <w:rPr/>
            </w:pPr>
            <w:r>
              <w:rPr/>
              <w:t> </w:t>
            </w:r>
          </w:p>
        </w:tc>
      </w:tr>
      <w:tr>
        <w:trPr/>
        <w:tc>
          <w:tcPr>
            <w:tcW w:w="9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Inventories, net</w:t>
            </w:r>
          </w:p>
        </w:tc>
        <w:tc>
          <w:tcPr>
            <w:tcW w:w="60" w:type="dxa"/>
            <w:tcBorders/>
            <w:shd w:fill="CCEEFF" w:val="clear"/>
            <w:vAlign w:val="center"/>
          </w:tcPr>
          <w:p>
            <w:pPr>
              <w:pStyle w:val="TableContents"/>
              <w:bidi w:val="0"/>
              <w:spacing w:before="0" w:after="283"/>
              <w:ind w:left="0" w:right="0" w:hanging="0"/>
              <w:jc w:val="left"/>
              <w:rPr/>
            </w:pPr>
            <w:r>
              <w:rPr/>
              <w:t> </w:t>
            </w:r>
          </w:p>
        </w:tc>
        <w:tc>
          <w:tcPr>
            <w:tcW w:w="10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4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143,865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7"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174,802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4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128,278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7"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159,215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4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137,957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7"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168,894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4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151,951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7"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184,085</w:t>
            </w:r>
          </w:p>
        </w:tc>
        <w:tc>
          <w:tcPr>
            <w:tcW w:w="84" w:type="dxa"/>
            <w:tcBorders/>
            <w:shd w:fill="CCEEFF" w:val="clear"/>
            <w:vAlign w:val="center"/>
          </w:tcPr>
          <w:p>
            <w:pPr>
              <w:pStyle w:val="TableContents"/>
              <w:bidi w:val="0"/>
              <w:spacing w:before="0" w:after="283"/>
              <w:jc w:val="left"/>
              <w:rPr/>
            </w:pPr>
            <w:r>
              <w:rPr/>
              <w:t> </w:t>
            </w:r>
          </w:p>
        </w:tc>
      </w:tr>
      <w:tr>
        <w:trPr/>
        <w:tc>
          <w:tcPr>
            <w:tcW w:w="9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Retained earnings</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126,257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30,937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157,194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126,610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30,937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157,547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124,572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30,937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155,509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125,414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157,548</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83"/>
        <w:gridCol w:w="60"/>
        <w:gridCol w:w="115"/>
        <w:gridCol w:w="519"/>
        <w:gridCol w:w="65"/>
        <w:gridCol w:w="60"/>
        <w:gridCol w:w="412"/>
        <w:gridCol w:w="283"/>
        <w:gridCol w:w="60"/>
        <w:gridCol w:w="60"/>
        <w:gridCol w:w="100"/>
        <w:gridCol w:w="453"/>
        <w:gridCol w:w="65"/>
        <w:gridCol w:w="60"/>
        <w:gridCol w:w="115"/>
        <w:gridCol w:w="519"/>
        <w:gridCol w:w="60"/>
        <w:gridCol w:w="60"/>
        <w:gridCol w:w="134"/>
        <w:gridCol w:w="561"/>
        <w:gridCol w:w="65"/>
        <w:gridCol w:w="60"/>
        <w:gridCol w:w="100"/>
        <w:gridCol w:w="453"/>
        <w:gridCol w:w="60"/>
        <w:gridCol w:w="60"/>
        <w:gridCol w:w="115"/>
        <w:gridCol w:w="519"/>
        <w:gridCol w:w="65"/>
        <w:gridCol w:w="60"/>
        <w:gridCol w:w="412"/>
        <w:gridCol w:w="283"/>
        <w:gridCol w:w="60"/>
        <w:gridCol w:w="60"/>
        <w:gridCol w:w="100"/>
        <w:gridCol w:w="453"/>
        <w:gridCol w:w="65"/>
        <w:gridCol w:w="60"/>
        <w:gridCol w:w="115"/>
        <w:gridCol w:w="519"/>
        <w:gridCol w:w="60"/>
        <w:gridCol w:w="60"/>
        <w:gridCol w:w="171"/>
        <w:gridCol w:w="524"/>
        <w:gridCol w:w="65"/>
        <w:gridCol w:w="60"/>
        <w:gridCol w:w="100"/>
        <w:gridCol w:w="453"/>
        <w:gridCol w:w="84"/>
      </w:tblGrid>
      <w:tr>
        <w:trPr/>
        <w:tc>
          <w:tcPr>
            <w:tcW w:w="11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78" w:type="dxa"/>
            <w:gridSpan w:val="46"/>
            <w:tcBorders/>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For the Quarter Ended</w:t>
            </w:r>
          </w:p>
        </w:tc>
        <w:tc>
          <w:tcPr>
            <w:tcW w:w="84" w:type="dxa"/>
            <w:tcBorders/>
            <w:vAlign w:val="center"/>
          </w:tcPr>
          <w:p>
            <w:pPr>
              <w:pStyle w:val="TableContents"/>
              <w:bidi w:val="0"/>
              <w:spacing w:before="0" w:after="283"/>
              <w:jc w:val="left"/>
              <w:rPr/>
            </w:pPr>
            <w:r>
              <w:rPr/>
              <w:t> </w:t>
            </w:r>
          </w:p>
        </w:tc>
      </w:tr>
      <w:tr>
        <w:trPr/>
        <w:tc>
          <w:tcPr>
            <w:tcW w:w="11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2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26, 2025</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2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December 26,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2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27, 2026</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2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June 30, 2026</w:t>
            </w:r>
          </w:p>
        </w:tc>
        <w:tc>
          <w:tcPr>
            <w:tcW w:w="84" w:type="dxa"/>
            <w:tcBorders/>
            <w:vAlign w:val="center"/>
          </w:tcPr>
          <w:p>
            <w:pPr>
              <w:pStyle w:val="TableContents"/>
              <w:bidi w:val="0"/>
              <w:spacing w:before="0" w:after="283"/>
              <w:jc w:val="left"/>
              <w:rPr/>
            </w:pPr>
            <w:r>
              <w:rPr/>
              <w:t> </w:t>
            </w:r>
          </w:p>
        </w:tc>
      </w:tr>
      <w:tr>
        <w:trPr/>
        <w:tc>
          <w:tcPr>
            <w:tcW w:w="1183"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Consolidated Statement of Operations and</w:t>
            </w:r>
          </w:p>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Comprehensive Income (Loss)</w:t>
            </w:r>
          </w:p>
        </w:tc>
        <w:tc>
          <w:tcPr>
            <w:tcW w:w="60"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Computed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Previous</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Effect of</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Accounting</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Change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Reported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New</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Computed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Previous</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Effect of</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Accounting</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Change</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Reported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New</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Computed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Previous</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Effect of</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Accounting</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Change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Reported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New</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Computed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Previous</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Effect of</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Accounting</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Change</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Reported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New</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84" w:type="dxa"/>
            <w:tcBorders/>
            <w:vAlign w:val="center"/>
          </w:tcPr>
          <w:p>
            <w:pPr>
              <w:pStyle w:val="TableContents"/>
              <w:bidi w:val="0"/>
              <w:spacing w:before="0" w:after="283"/>
              <w:jc w:val="left"/>
              <w:rPr/>
            </w:pPr>
            <w:r>
              <w:rPr/>
              <w:t> </w:t>
            </w:r>
          </w:p>
        </w:tc>
      </w:tr>
      <w:tr>
        <w:trPr/>
        <w:tc>
          <w:tcPr>
            <w:tcW w:w="11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57,062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57,062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67,813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67,813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69,563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69,563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84,760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2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(487</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00"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84,273</w:t>
            </w:r>
          </w:p>
        </w:tc>
        <w:tc>
          <w:tcPr>
            <w:tcW w:w="84" w:type="dxa"/>
            <w:tcBorders/>
            <w:shd w:fill="CCEEFF" w:val="clear"/>
            <w:vAlign w:val="center"/>
          </w:tcPr>
          <w:p>
            <w:pPr>
              <w:pStyle w:val="TableContents"/>
              <w:bidi w:val="0"/>
              <w:spacing w:before="0" w:after="283"/>
              <w:jc w:val="left"/>
              <w:rPr/>
            </w:pPr>
            <w:r>
              <w:rPr/>
              <w:t> </w:t>
            </w:r>
          </w:p>
        </w:tc>
      </w:tr>
      <w:tr>
        <w:trPr/>
        <w:tc>
          <w:tcPr>
            <w:tcW w:w="11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Gross profit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22,934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22,934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27,131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27,131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29,640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52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30,127</w:t>
            </w:r>
          </w:p>
        </w:tc>
        <w:tc>
          <w:tcPr>
            <w:tcW w:w="84" w:type="dxa"/>
            <w:tcBorders/>
            <w:shd w:fill="FFFFFF" w:val="clear"/>
            <w:vAlign w:val="center"/>
          </w:tcPr>
          <w:p>
            <w:pPr>
              <w:pStyle w:val="TableContents"/>
              <w:bidi w:val="0"/>
              <w:spacing w:before="0" w:after="283"/>
              <w:jc w:val="left"/>
              <w:rPr/>
            </w:pPr>
            <w:r>
              <w:rPr/>
              <w:t> </w:t>
            </w:r>
          </w:p>
        </w:tc>
      </w:tr>
      <w:tr>
        <w:trPr/>
        <w:tc>
          <w:tcPr>
            <w:tcW w:w="11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Income (loss) from operations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2,235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2,235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5,822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5,822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52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7,815</w:t>
            </w:r>
          </w:p>
        </w:tc>
        <w:tc>
          <w:tcPr>
            <w:tcW w:w="84" w:type="dxa"/>
            <w:tcBorders/>
            <w:shd w:fill="CCEEFF" w:val="clear"/>
            <w:vAlign w:val="center"/>
          </w:tcPr>
          <w:p>
            <w:pPr>
              <w:pStyle w:val="TableContents"/>
              <w:bidi w:val="0"/>
              <w:spacing w:before="0" w:after="283"/>
              <w:jc w:val="left"/>
              <w:rPr/>
            </w:pPr>
            <w:r>
              <w:rPr/>
              <w:t> </w:t>
            </w:r>
          </w:p>
        </w:tc>
      </w:tr>
      <w:tr>
        <w:trPr/>
        <w:tc>
          <w:tcPr>
            <w:tcW w:w="11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Income (loss) before income taxes and noncontrolling interest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571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571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5,395</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5,395</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6,445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52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6,932</w:t>
            </w:r>
          </w:p>
        </w:tc>
        <w:tc>
          <w:tcPr>
            <w:tcW w:w="84" w:type="dxa"/>
            <w:tcBorders/>
            <w:shd w:fill="FFFFFF" w:val="clear"/>
            <w:vAlign w:val="center"/>
          </w:tcPr>
          <w:p>
            <w:pPr>
              <w:pStyle w:val="TableContents"/>
              <w:bidi w:val="0"/>
              <w:spacing w:before="0" w:after="283"/>
              <w:jc w:val="left"/>
              <w:rPr/>
            </w:pPr>
            <w:r>
              <w:rPr/>
              <w:t> </w:t>
            </w:r>
          </w:p>
        </w:tc>
      </w:tr>
      <w:tr>
        <w:trPr/>
        <w:tc>
          <w:tcPr>
            <w:tcW w:w="11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Income tax benefit (expense)</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(983</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(983</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(7,462</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(1,839</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(1,839</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52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114</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2,477</w:t>
            </w:r>
          </w:p>
        </w:tc>
        <w:tc>
          <w:tcPr>
            <w:tcW w:w="84" w:type="dxa"/>
            <w:tcBorders/>
            <w:shd w:fill="CCEEFF" w:val="clear"/>
            <w:vAlign w:val="center"/>
          </w:tcPr>
          <w:p>
            <w:pPr>
              <w:pStyle w:val="TableContents"/>
              <w:bidi w:val="0"/>
              <w:spacing w:before="0" w:after="283"/>
              <w:jc w:val="left"/>
              <w:rPr/>
            </w:pPr>
            <w:r>
              <w:rPr/>
              <w:t> </w:t>
            </w:r>
          </w:p>
        </w:tc>
      </w:tr>
      <w:tr>
        <w:trPr/>
        <w:tc>
          <w:tcPr>
            <w:tcW w:w="11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Net income (loss)</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(412</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(412</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22,478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(7,462</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3,556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3,556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9,036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52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9,409</w:t>
            </w:r>
          </w:p>
        </w:tc>
        <w:tc>
          <w:tcPr>
            <w:tcW w:w="84" w:type="dxa"/>
            <w:tcBorders/>
            <w:shd w:fill="FFFFFF" w:val="clear"/>
            <w:vAlign w:val="center"/>
          </w:tcPr>
          <w:p>
            <w:pPr>
              <w:pStyle w:val="TableContents"/>
              <w:bidi w:val="0"/>
              <w:spacing w:before="0" w:after="283"/>
              <w:jc w:val="left"/>
              <w:rPr/>
            </w:pPr>
            <w:r>
              <w:rPr/>
              <w:t> </w:t>
            </w:r>
          </w:p>
        </w:tc>
      </w:tr>
      <w:tr>
        <w:trPr/>
        <w:tc>
          <w:tcPr>
            <w:tcW w:w="11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Net income (loss) attributable to Twin Disc, Incorporated</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(518</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(518</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(7,462</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3,325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3,325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52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9,360</w:t>
            </w:r>
          </w:p>
        </w:tc>
        <w:tc>
          <w:tcPr>
            <w:tcW w:w="84" w:type="dxa"/>
            <w:tcBorders/>
            <w:shd w:fill="CCEEFF" w:val="clear"/>
            <w:vAlign w:val="center"/>
          </w:tcPr>
          <w:p>
            <w:pPr>
              <w:pStyle w:val="TableContents"/>
              <w:bidi w:val="0"/>
              <w:spacing w:before="0" w:after="283"/>
              <w:jc w:val="left"/>
              <w:rPr/>
            </w:pPr>
            <w:r>
              <w:rPr/>
              <w:t> </w:t>
            </w:r>
          </w:p>
        </w:tc>
      </w:tr>
      <w:tr>
        <w:trPr/>
        <w:tc>
          <w:tcPr>
            <w:tcW w:w="11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11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Earnings (loss) per share data:</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11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Basic earnings (loss) per share attributable to Twin Disc, Incorporated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(0.04</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(0.04</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(0.53</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0"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0.23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0.23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2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0.66</w:t>
            </w:r>
          </w:p>
        </w:tc>
        <w:tc>
          <w:tcPr>
            <w:tcW w:w="84" w:type="dxa"/>
            <w:tcBorders/>
            <w:shd w:fill="FFFFFF" w:val="clear"/>
            <w:vAlign w:val="center"/>
          </w:tcPr>
          <w:p>
            <w:pPr>
              <w:pStyle w:val="TableContents"/>
              <w:bidi w:val="0"/>
              <w:spacing w:before="0" w:after="283"/>
              <w:jc w:val="left"/>
              <w:rPr/>
            </w:pPr>
            <w:r>
              <w:rPr/>
              <w:t> </w:t>
            </w:r>
          </w:p>
        </w:tc>
      </w:tr>
      <w:tr>
        <w:trPr/>
        <w:tc>
          <w:tcPr>
            <w:tcW w:w="11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Diluted earnings (loss) per share attributable to Twin Disc, Incorporated common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(0.04</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(0.04</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(0.51</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00"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0.23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0.23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2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0.64</w:t>
            </w:r>
          </w:p>
        </w:tc>
        <w:tc>
          <w:tcPr>
            <w:tcW w:w="84" w:type="dxa"/>
            <w:tcBorders/>
            <w:shd w:fill="CCEEFF" w:val="clear"/>
            <w:vAlign w:val="center"/>
          </w:tcPr>
          <w:p>
            <w:pPr>
              <w:pStyle w:val="TableContents"/>
              <w:bidi w:val="0"/>
              <w:spacing w:before="0" w:after="283"/>
              <w:jc w:val="left"/>
              <w:rPr/>
            </w:pPr>
            <w:r>
              <w:rPr/>
              <w:t> </w:t>
            </w:r>
          </w:p>
        </w:tc>
      </w:tr>
      <w:tr>
        <w:trPr/>
        <w:tc>
          <w:tcPr>
            <w:tcW w:w="11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11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Weighted average shares outstanding data:</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11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Basic shares outstanding</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13,961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13,961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14,198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14,198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52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14,199</w:t>
            </w:r>
          </w:p>
        </w:tc>
        <w:tc>
          <w:tcPr>
            <w:tcW w:w="84" w:type="dxa"/>
            <w:tcBorders/>
            <w:shd w:fill="FFFFFF" w:val="clear"/>
            <w:vAlign w:val="center"/>
          </w:tcPr>
          <w:p>
            <w:pPr>
              <w:pStyle w:val="TableContents"/>
              <w:bidi w:val="0"/>
              <w:spacing w:before="0" w:after="283"/>
              <w:jc w:val="left"/>
              <w:rPr/>
            </w:pPr>
            <w:r>
              <w:rPr/>
              <w:t> </w:t>
            </w:r>
          </w:p>
        </w:tc>
      </w:tr>
      <w:tr>
        <w:trPr/>
        <w:tc>
          <w:tcPr>
            <w:tcW w:w="11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Diluted shares outstanding</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13,961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13,961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14,416</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14,416</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52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14,666</w:t>
            </w:r>
          </w:p>
        </w:tc>
        <w:tc>
          <w:tcPr>
            <w:tcW w:w="84" w:type="dxa"/>
            <w:tcBorders/>
            <w:shd w:fill="CCEEFF" w:val="clear"/>
            <w:vAlign w:val="center"/>
          </w:tcPr>
          <w:p>
            <w:pPr>
              <w:pStyle w:val="TableContents"/>
              <w:bidi w:val="0"/>
              <w:spacing w:before="0" w:after="283"/>
              <w:jc w:val="left"/>
              <w:rPr/>
            </w:pPr>
            <w:r>
              <w:rPr/>
              <w:t> </w:t>
            </w:r>
          </w:p>
        </w:tc>
      </w:tr>
      <w:tr>
        <w:trPr/>
        <w:tc>
          <w:tcPr>
            <w:tcW w:w="11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11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Comprehensive income (loss)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11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(412</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(412</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22,478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(7,462</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0"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3,556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3,556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9,036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2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9,409</w:t>
            </w:r>
          </w:p>
        </w:tc>
        <w:tc>
          <w:tcPr>
            <w:tcW w:w="84" w:type="dxa"/>
            <w:tcBorders/>
            <w:shd w:fill="FFFFFF" w:val="clear"/>
            <w:vAlign w:val="center"/>
          </w:tcPr>
          <w:p>
            <w:pPr>
              <w:pStyle w:val="TableContents"/>
              <w:bidi w:val="0"/>
              <w:spacing w:before="0" w:after="283"/>
              <w:jc w:val="left"/>
              <w:rPr/>
            </w:pPr>
            <w:r>
              <w:rPr/>
              <w:t> </w:t>
            </w:r>
          </w:p>
        </w:tc>
      </w:tr>
      <w:tr>
        <w:trPr/>
        <w:tc>
          <w:tcPr>
            <w:tcW w:w="11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Comprehensive income (loss)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(2,113</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(2,113</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(7,462</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1,167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1,167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52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8,386</w:t>
            </w:r>
          </w:p>
        </w:tc>
        <w:tc>
          <w:tcPr>
            <w:tcW w:w="84" w:type="dxa"/>
            <w:tcBorders/>
            <w:shd w:fill="CCEEFF" w:val="clear"/>
            <w:vAlign w:val="center"/>
          </w:tcPr>
          <w:p>
            <w:pPr>
              <w:pStyle w:val="TableContents"/>
              <w:bidi w:val="0"/>
              <w:spacing w:before="0" w:after="283"/>
              <w:jc w:val="left"/>
              <w:rPr/>
            </w:pPr>
            <w:r>
              <w:rPr/>
              <w:t> </w:t>
            </w:r>
          </w:p>
        </w:tc>
      </w:tr>
      <w:tr>
        <w:trPr/>
        <w:tc>
          <w:tcPr>
            <w:tcW w:w="11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Comprehensive income (loss) attributable to Twin Disc, Incorporated</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(2,304</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(2,304</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(7,462</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16,474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52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8,509</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69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166"/>
        <w:gridCol w:w="60"/>
        <w:gridCol w:w="115"/>
        <w:gridCol w:w="518"/>
        <w:gridCol w:w="65"/>
        <w:gridCol w:w="60"/>
        <w:gridCol w:w="412"/>
        <w:gridCol w:w="283"/>
        <w:gridCol w:w="60"/>
        <w:gridCol w:w="60"/>
        <w:gridCol w:w="100"/>
        <w:gridCol w:w="453"/>
        <w:gridCol w:w="65"/>
        <w:gridCol w:w="60"/>
        <w:gridCol w:w="106"/>
        <w:gridCol w:w="527"/>
        <w:gridCol w:w="65"/>
        <w:gridCol w:w="60"/>
        <w:gridCol w:w="412"/>
        <w:gridCol w:w="283"/>
        <w:gridCol w:w="60"/>
        <w:gridCol w:w="60"/>
        <w:gridCol w:w="96"/>
        <w:gridCol w:w="476"/>
        <w:gridCol w:w="65"/>
        <w:gridCol w:w="60"/>
        <w:gridCol w:w="115"/>
        <w:gridCol w:w="518"/>
        <w:gridCol w:w="65"/>
        <w:gridCol w:w="60"/>
        <w:gridCol w:w="412"/>
        <w:gridCol w:w="283"/>
        <w:gridCol w:w="60"/>
        <w:gridCol w:w="60"/>
        <w:gridCol w:w="100"/>
        <w:gridCol w:w="453"/>
        <w:gridCol w:w="65"/>
        <w:gridCol w:w="60"/>
        <w:gridCol w:w="115"/>
        <w:gridCol w:w="518"/>
        <w:gridCol w:w="60"/>
        <w:gridCol w:w="60"/>
        <w:gridCol w:w="134"/>
        <w:gridCol w:w="561"/>
        <w:gridCol w:w="65"/>
        <w:gridCol w:w="60"/>
        <w:gridCol w:w="100"/>
        <w:gridCol w:w="453"/>
        <w:gridCol w:w="81"/>
      </w:tblGrid>
      <w:tr>
        <w:trPr/>
        <w:tc>
          <w:tcPr>
            <w:tcW w:w="11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8" w:type="dxa"/>
            <w:gridSpan w:val="46"/>
            <w:tcBorders/>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For the Quarter Ended</w:t>
            </w:r>
          </w:p>
        </w:tc>
        <w:tc>
          <w:tcPr>
            <w:tcW w:w="81" w:type="dxa"/>
            <w:tcBorders/>
            <w:vAlign w:val="center"/>
          </w:tcPr>
          <w:p>
            <w:pPr>
              <w:pStyle w:val="TableContents"/>
              <w:bidi w:val="0"/>
              <w:spacing w:before="0" w:after="283"/>
              <w:jc w:val="left"/>
              <w:rPr/>
            </w:pPr>
            <w:r>
              <w:rPr/>
              <w:t> </w:t>
            </w:r>
          </w:p>
        </w:tc>
      </w:tr>
      <w:tr>
        <w:trPr/>
        <w:tc>
          <w:tcPr>
            <w:tcW w:w="11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26"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September 27, 2024</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4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December 27, 2024</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26"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March 28, 2025</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26"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June 30, 2025</w:t>
            </w:r>
          </w:p>
        </w:tc>
        <w:tc>
          <w:tcPr>
            <w:tcW w:w="81" w:type="dxa"/>
            <w:tcBorders/>
            <w:vAlign w:val="center"/>
          </w:tcPr>
          <w:p>
            <w:pPr>
              <w:pStyle w:val="TableContents"/>
              <w:bidi w:val="0"/>
              <w:spacing w:before="0" w:after="283"/>
              <w:jc w:val="left"/>
              <w:rPr/>
            </w:pPr>
            <w:r>
              <w:rPr/>
              <w:t> </w:t>
            </w:r>
          </w:p>
        </w:tc>
      </w:tr>
      <w:tr>
        <w:trPr/>
        <w:tc>
          <w:tcPr>
            <w:tcW w:w="1166"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Consolidated Statement of Operations and</w:t>
            </w:r>
          </w:p>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Comprehensive Income (Loss)</w:t>
            </w:r>
          </w:p>
        </w:tc>
        <w:tc>
          <w:tcPr>
            <w:tcW w:w="60" w:type="dxa"/>
            <w:tcBorders/>
            <w:vAlign w:val="center"/>
          </w:tcPr>
          <w:p>
            <w:pPr>
              <w:pStyle w:val="TableContents"/>
              <w:bidi w:val="0"/>
              <w:spacing w:before="0" w:after="283"/>
              <w:ind w:left="0" w:right="0" w:hanging="0"/>
              <w:jc w:val="left"/>
              <w:rPr/>
            </w:pPr>
            <w:r>
              <w:rPr/>
              <w:t> </w:t>
            </w:r>
          </w:p>
        </w:tc>
        <w:tc>
          <w:tcPr>
            <w:tcW w:w="6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Computed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Previous</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Effect of</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Accounting</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Change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Reported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New</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Computed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Previous</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Effect of</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Accounting</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Change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Reported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New</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Computed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Previous</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Effect of</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Accounting</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Change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Reported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New</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Computed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Previous</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Effect of</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Accounting</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Change</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As Reported</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Under New</w:t>
            </w:r>
          </w:p>
          <w:p>
            <w:pPr>
              <w:pStyle w:val="TableContents"/>
              <w:bidi w:val="0"/>
              <w:spacing w:before="0" w:after="0"/>
              <w:ind w:left="0" w:right="0" w:hanging="0"/>
              <w:jc w:val="center"/>
              <w:rPr>
                <w:rFonts w:ascii="Times New Roman;Times;serif" w:hAnsi="Times New Roman;Times;serif"/>
                <w:caps w:val="false"/>
                <w:smallCaps w:val="false"/>
                <w:sz w:val="14"/>
              </w:rPr>
            </w:pPr>
            <w:r>
              <w:rPr>
                <w:rFonts w:ascii="Times New Roman;Times;serif" w:hAnsi="Times New Roman;Times;serif"/>
                <w:caps w:val="false"/>
                <w:smallCaps w:val="false"/>
                <w:sz w:val="14"/>
              </w:rPr>
              <w:t>Method</w:t>
            </w:r>
          </w:p>
        </w:tc>
        <w:tc>
          <w:tcPr>
            <w:tcW w:w="81" w:type="dxa"/>
            <w:tcBorders/>
            <w:vAlign w:val="center"/>
          </w:tcPr>
          <w:p>
            <w:pPr>
              <w:pStyle w:val="TableContents"/>
              <w:bidi w:val="0"/>
              <w:spacing w:before="0" w:after="283"/>
              <w:jc w:val="left"/>
              <w:rPr/>
            </w:pPr>
            <w:r>
              <w:rPr/>
              <w:t> </w:t>
            </w:r>
          </w:p>
        </w:tc>
      </w:tr>
      <w:tr>
        <w:trPr/>
        <w:tc>
          <w:tcPr>
            <w:tcW w:w="11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53,575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53,575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6"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2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68,241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6"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68,241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59,536</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59,536</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66,660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(1,197</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00"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65,463</w:t>
            </w:r>
          </w:p>
        </w:tc>
        <w:tc>
          <w:tcPr>
            <w:tcW w:w="81" w:type="dxa"/>
            <w:tcBorders/>
            <w:shd w:fill="CCEEFF" w:val="clear"/>
            <w:vAlign w:val="center"/>
          </w:tcPr>
          <w:p>
            <w:pPr>
              <w:pStyle w:val="TableContents"/>
              <w:bidi w:val="0"/>
              <w:spacing w:before="0" w:after="283"/>
              <w:jc w:val="left"/>
              <w:rPr/>
            </w:pPr>
            <w:r>
              <w:rPr/>
              <w:t> </w:t>
            </w:r>
          </w:p>
        </w:tc>
      </w:tr>
      <w:tr>
        <w:trPr/>
        <w:tc>
          <w:tcPr>
            <w:tcW w:w="11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Gross profit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19,322</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19,322</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52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21,680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21,680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21,706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21,706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1,197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31,215</w:t>
            </w:r>
          </w:p>
        </w:tc>
        <w:tc>
          <w:tcPr>
            <w:tcW w:w="81" w:type="dxa"/>
            <w:tcBorders/>
            <w:shd w:fill="FFFFFF" w:val="clear"/>
            <w:vAlign w:val="center"/>
          </w:tcPr>
          <w:p>
            <w:pPr>
              <w:pStyle w:val="TableContents"/>
              <w:bidi w:val="0"/>
              <w:spacing w:before="0" w:after="283"/>
              <w:jc w:val="left"/>
              <w:rPr/>
            </w:pPr>
            <w:r>
              <w:rPr/>
              <w:t> </w:t>
            </w:r>
          </w:p>
        </w:tc>
      </w:tr>
      <w:tr>
        <w:trPr/>
        <w:tc>
          <w:tcPr>
            <w:tcW w:w="11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Income (loss) from operations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(165</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(165</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52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2,760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2,760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1,947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1,947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1,197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6,542</w:t>
            </w:r>
          </w:p>
        </w:tc>
        <w:tc>
          <w:tcPr>
            <w:tcW w:w="81" w:type="dxa"/>
            <w:tcBorders/>
            <w:shd w:fill="CCEEFF" w:val="clear"/>
            <w:vAlign w:val="center"/>
          </w:tcPr>
          <w:p>
            <w:pPr>
              <w:pStyle w:val="TableContents"/>
              <w:bidi w:val="0"/>
              <w:spacing w:before="0" w:after="283"/>
              <w:jc w:val="left"/>
              <w:rPr/>
            </w:pPr>
            <w:r>
              <w:rPr/>
              <w:t> </w:t>
            </w:r>
          </w:p>
        </w:tc>
      </w:tr>
      <w:tr>
        <w:trPr/>
        <w:tc>
          <w:tcPr>
            <w:tcW w:w="11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Income (loss) before income taxes and noncontrolling interest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(2,145</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(2,145</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52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2,651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2,651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(280</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(280</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1,197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2,740</w:t>
            </w:r>
          </w:p>
        </w:tc>
        <w:tc>
          <w:tcPr>
            <w:tcW w:w="81" w:type="dxa"/>
            <w:tcBorders/>
            <w:shd w:fill="FFFFFF" w:val="clear"/>
            <w:vAlign w:val="center"/>
          </w:tcPr>
          <w:p>
            <w:pPr>
              <w:pStyle w:val="TableContents"/>
              <w:bidi w:val="0"/>
              <w:spacing w:before="0" w:after="283"/>
              <w:jc w:val="left"/>
              <w:rPr/>
            </w:pPr>
            <w:r>
              <w:rPr/>
              <w:t> </w:t>
            </w:r>
          </w:p>
        </w:tc>
      </w:tr>
      <w:tr>
        <w:trPr/>
        <w:tc>
          <w:tcPr>
            <w:tcW w:w="11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Income tax benefit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627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627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6"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2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1,552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6"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1,552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1,142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1,142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w:t>
            </w:r>
          </w:p>
        </w:tc>
        <w:tc>
          <w:tcPr>
            <w:tcW w:w="81" w:type="dxa"/>
            <w:tcBorders/>
            <w:shd w:fill="CCEEFF" w:val="clear"/>
            <w:vAlign w:val="center"/>
          </w:tcPr>
          <w:p>
            <w:pPr>
              <w:pStyle w:val="TableContents"/>
              <w:bidi w:val="0"/>
              <w:spacing w:before="0" w:after="283"/>
              <w:jc w:val="left"/>
              <w:rPr/>
            </w:pPr>
            <w:r>
              <w:rPr/>
              <w:t> </w:t>
            </w:r>
          </w:p>
        </w:tc>
      </w:tr>
      <w:tr>
        <w:trPr/>
        <w:tc>
          <w:tcPr>
            <w:tcW w:w="11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Net income (loss)</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(2,772</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(2,772</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52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1,099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1,099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(1,422</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(1,422</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1,197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2,693</w:t>
            </w:r>
          </w:p>
        </w:tc>
        <w:tc>
          <w:tcPr>
            <w:tcW w:w="81" w:type="dxa"/>
            <w:tcBorders/>
            <w:shd w:fill="FFFFFF" w:val="clear"/>
            <w:vAlign w:val="center"/>
          </w:tcPr>
          <w:p>
            <w:pPr>
              <w:pStyle w:val="TableContents"/>
              <w:bidi w:val="0"/>
              <w:spacing w:before="0" w:after="283"/>
              <w:jc w:val="left"/>
              <w:rPr/>
            </w:pPr>
            <w:r>
              <w:rPr/>
              <w:t> </w:t>
            </w:r>
          </w:p>
        </w:tc>
      </w:tr>
      <w:tr>
        <w:trPr/>
        <w:tc>
          <w:tcPr>
            <w:tcW w:w="11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Net income (loss) attributable to Twin Disc, Incorporated</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(2,765</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(2,765</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52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919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919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(1,472</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(1,472</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1,197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2,621</w:t>
            </w:r>
          </w:p>
        </w:tc>
        <w:tc>
          <w:tcPr>
            <w:tcW w:w="81" w:type="dxa"/>
            <w:tcBorders/>
            <w:shd w:fill="CCEEFF" w:val="clear"/>
            <w:vAlign w:val="center"/>
          </w:tcPr>
          <w:p>
            <w:pPr>
              <w:pStyle w:val="TableContents"/>
              <w:bidi w:val="0"/>
              <w:spacing w:before="0" w:after="283"/>
              <w:jc w:val="left"/>
              <w:rPr/>
            </w:pPr>
            <w:r>
              <w:rPr/>
              <w:t> </w:t>
            </w:r>
          </w:p>
        </w:tc>
      </w:tr>
      <w:tr>
        <w:trPr/>
        <w:tc>
          <w:tcPr>
            <w:tcW w:w="11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11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Earnings (loss) per share data:</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1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Basic earnings (loss) per share attributable to Twin Disc, Incorporated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(0.20</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(0.20</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2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(0.11</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(0.11</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0.19</w:t>
            </w:r>
          </w:p>
        </w:tc>
        <w:tc>
          <w:tcPr>
            <w:tcW w:w="81" w:type="dxa"/>
            <w:tcBorders/>
            <w:shd w:fill="FFFFFF" w:val="clear"/>
            <w:vAlign w:val="center"/>
          </w:tcPr>
          <w:p>
            <w:pPr>
              <w:pStyle w:val="TableContents"/>
              <w:bidi w:val="0"/>
              <w:spacing w:before="0" w:after="283"/>
              <w:jc w:val="left"/>
              <w:rPr/>
            </w:pPr>
            <w:r>
              <w:rPr/>
              <w:t> </w:t>
            </w:r>
          </w:p>
        </w:tc>
      </w:tr>
      <w:tr>
        <w:trPr/>
        <w:tc>
          <w:tcPr>
            <w:tcW w:w="11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Diluted earnings (loss) per share attributable to Twin Disc, Incorporated common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(0.20</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(0.20</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06"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2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6"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(0.11</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(0.11</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0.08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0.19</w:t>
            </w:r>
          </w:p>
        </w:tc>
        <w:tc>
          <w:tcPr>
            <w:tcW w:w="81" w:type="dxa"/>
            <w:tcBorders/>
            <w:shd w:fill="CCEEFF" w:val="clear"/>
            <w:vAlign w:val="center"/>
          </w:tcPr>
          <w:p>
            <w:pPr>
              <w:pStyle w:val="TableContents"/>
              <w:bidi w:val="0"/>
              <w:spacing w:before="0" w:after="283"/>
              <w:jc w:val="left"/>
              <w:rPr/>
            </w:pPr>
            <w:r>
              <w:rPr/>
              <w:t> </w:t>
            </w:r>
          </w:p>
        </w:tc>
      </w:tr>
      <w:tr>
        <w:trPr/>
        <w:tc>
          <w:tcPr>
            <w:tcW w:w="11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11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Weighted average shares outstanding data:</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1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Basic shares outstanding</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13,778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13,778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52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13,868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13,868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13,895</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13,895</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13,897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13,897</w:t>
            </w:r>
          </w:p>
        </w:tc>
        <w:tc>
          <w:tcPr>
            <w:tcW w:w="81" w:type="dxa"/>
            <w:tcBorders/>
            <w:shd w:fill="FFFFFF" w:val="clear"/>
            <w:vAlign w:val="center"/>
          </w:tcPr>
          <w:p>
            <w:pPr>
              <w:pStyle w:val="TableContents"/>
              <w:bidi w:val="0"/>
              <w:spacing w:before="0" w:after="283"/>
              <w:jc w:val="left"/>
              <w:rPr/>
            </w:pPr>
            <w:r>
              <w:rPr/>
              <w:t> </w:t>
            </w:r>
          </w:p>
        </w:tc>
      </w:tr>
      <w:tr>
        <w:trPr/>
        <w:tc>
          <w:tcPr>
            <w:tcW w:w="11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Diluted shares outstanding</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13,778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13,778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52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14,058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14,058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13,895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13,895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13,971</w:t>
            </w:r>
          </w:p>
        </w:tc>
        <w:tc>
          <w:tcPr>
            <w:tcW w:w="81" w:type="dxa"/>
            <w:tcBorders/>
            <w:shd w:fill="CCEEFF" w:val="clear"/>
            <w:vAlign w:val="center"/>
          </w:tcPr>
          <w:p>
            <w:pPr>
              <w:pStyle w:val="TableContents"/>
              <w:bidi w:val="0"/>
              <w:spacing w:before="0" w:after="283"/>
              <w:jc w:val="left"/>
              <w:rPr/>
            </w:pPr>
            <w:r>
              <w:rPr/>
              <w:t> </w:t>
            </w:r>
          </w:p>
        </w:tc>
      </w:tr>
      <w:tr>
        <w:trPr/>
        <w:tc>
          <w:tcPr>
            <w:tcW w:w="11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11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Comprehensive income (loss)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1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(2,772</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(2,772</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2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1,099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1,099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(1,422</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(1,422</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1,197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2,693</w:t>
            </w:r>
          </w:p>
        </w:tc>
        <w:tc>
          <w:tcPr>
            <w:tcW w:w="81" w:type="dxa"/>
            <w:tcBorders/>
            <w:shd w:fill="FFFFFF" w:val="clear"/>
            <w:vAlign w:val="center"/>
          </w:tcPr>
          <w:p>
            <w:pPr>
              <w:pStyle w:val="TableContents"/>
              <w:bidi w:val="0"/>
              <w:spacing w:before="0" w:after="283"/>
              <w:jc w:val="left"/>
              <w:rPr/>
            </w:pPr>
            <w:r>
              <w:rPr/>
              <w:t> </w:t>
            </w:r>
          </w:p>
        </w:tc>
      </w:tr>
      <w:tr>
        <w:trPr/>
        <w:tc>
          <w:tcPr>
            <w:tcW w:w="11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Comprehensive income (loss)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3,760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3,760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52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(10,792</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(10,792</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2,278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2,278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1,197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15,026</w:t>
            </w:r>
          </w:p>
        </w:tc>
        <w:tc>
          <w:tcPr>
            <w:tcW w:w="81" w:type="dxa"/>
            <w:tcBorders/>
            <w:shd w:fill="CCEEFF" w:val="clear"/>
            <w:vAlign w:val="center"/>
          </w:tcPr>
          <w:p>
            <w:pPr>
              <w:pStyle w:val="TableContents"/>
              <w:bidi w:val="0"/>
              <w:spacing w:before="0" w:after="283"/>
              <w:jc w:val="left"/>
              <w:rPr/>
            </w:pPr>
            <w:r>
              <w:rPr/>
              <w:t> </w:t>
            </w:r>
          </w:p>
        </w:tc>
      </w:tr>
      <w:tr>
        <w:trPr/>
        <w:tc>
          <w:tcPr>
            <w:tcW w:w="11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Comprehensive income (loss) attributable to Twin Disc, Incorporated</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3,624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3,624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52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(10,914</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(10,914</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2,196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2,196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13,835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1,197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15,032</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70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Kobelt Manufacturing Co., Ltd.,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14, 2025, </w:t>
      </w:r>
      <w:r>
        <w:rPr>
          <w:rFonts w:ascii="Times New Roman" w:hAnsi="Times New Roman"/>
          <w:caps w:val="false"/>
          <w:smallCaps w:val="false"/>
          <w:sz w:val="20"/>
        </w:rPr>
        <w:t xml:space="preserve">the Company completed the acquisition of 100% of the outstanding common stock of Kobelt. Based in Surrey, British Columbia, Kobelt is a Canadian manufacturer of controls, propulsion, steering, and braking systems to the marine, oil and gas, and industrial markets. This acquisition was pursuant to a Sale and Purchase Agreement (“Purchase Agreement”) entered into by Twin Disc Canada Holdings Ltd, a wholly-owned subsidiary of the Company, with the prior owners, on </w:t>
      </w:r>
      <w:r>
        <w:rPr>
          <w:rStyle w:val="Emphasis"/>
          <w:rFonts w:ascii="Times New Roman" w:hAnsi="Times New Roman"/>
          <w:caps w:val="false"/>
          <w:smallCaps w:val="false"/>
          <w:sz w:val="20"/>
        </w:rPr>
        <w:t xml:space="preserve">February 14, 2025. </w:t>
      </w:r>
      <w:r>
        <w:rPr>
          <w:rFonts w:ascii="Times New Roman" w:hAnsi="Times New Roman"/>
          <w:caps w:val="false"/>
          <w:smallCaps w:val="false"/>
          <w:sz w:val="20"/>
        </w:rPr>
        <w:t>Immediately following the acquisition, Kobelt and Twin Disc Canada Holdings Ltd amalgamated to continue a wholly-owned subsidiary of the Company, retaining the Kobelt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the terms of the Purchase Agreement, the Company paid an aggregate of approximately $17,236 in cash at closing, which included a base payment plus adjustments for net cash, working capital, and earnout. The Company paid an additional $516 for the net working capital adjustment. The amount is still subject to a final determination of the earnout calculation. The transaction is considered a taxable stock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in part, financed the payment of the cash consideration through borrowings of $6,500 under a credit agreement entered into on </w:t>
      </w:r>
      <w:r>
        <w:rPr>
          <w:rStyle w:val="Emphasis"/>
          <w:rFonts w:ascii="Times New Roman" w:hAnsi="Times New Roman"/>
          <w:caps w:val="false"/>
          <w:smallCaps w:val="false"/>
          <w:sz w:val="20"/>
        </w:rPr>
        <w:t xml:space="preserve">February 14, 2025 </w:t>
      </w:r>
      <w:r>
        <w:rPr>
          <w:rFonts w:ascii="Times New Roman" w:hAnsi="Times New Roman"/>
          <w:caps w:val="false"/>
          <w:smallCaps w:val="false"/>
          <w:sz w:val="20"/>
        </w:rPr>
        <w:t>with Bank of Montreal (the “Credit Agreement”). The Credit Agreement is further discussed in Note G,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Kobelt brings a complementary range of products that enhance and diversify the Company's portfolio, reinforcing Twin Disc’s position as a global leader in power transmission solutions. Kobelt's in-house foundry and expertise in bronze die casting, precision machining, assembly and testing ensure complete quality control, which aligns perfectly with the Company's commitment to engineering excellence.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With over </w:t>
      </w:r>
      <w:r>
        <w:rPr>
          <w:rStyle w:val="Emphasis"/>
          <w:rFonts w:ascii="Times New Roman" w:hAnsi="Times New Roman"/>
          <w:caps w:val="false"/>
          <w:smallCaps w:val="false"/>
          <w:sz w:val="20"/>
        </w:rPr>
        <w:t>60</w:t>
      </w:r>
      <w:r>
        <w:rPr>
          <w:rFonts w:ascii="Times New Roman" w:hAnsi="Times New Roman"/>
          <w:caps w:val="false"/>
          <w:smallCaps w:val="false"/>
          <w:sz w:val="20"/>
        </w:rPr>
        <w:t xml:space="preserve"> years of experience designing and manufacturing high-quality products, Kobelt is a well-suited addition to the Twin Disc family. This acquisition opens new opportunities for growth and partnerships, leveraging the Company's global sales and service teams to drive even greater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For fiscal years ended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included in its consolidated statement of operations and comprehensive income net sales and earnings (loss) for Kobelt of $13,414 and $232, and $4,870 and ($164),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Purchase Price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acquisition of Kobelt met the criteria for a business combination to be accounted for using the acquisition method under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Business Combinations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with the Company identified as the legal and the accounting acquirer. The Company recognized approximately $0.7 million of acquisition-related costs which were expensed in the consolidated statement of operations for the quarter ended </w:t>
      </w:r>
      <w:r>
        <w:rPr>
          <w:rStyle w:val="Emphasis"/>
          <w:rFonts w:ascii="Times New Roman" w:hAnsi="Times New Roman"/>
          <w:caps w:val="false"/>
          <w:smallCaps w:val="false"/>
          <w:sz w:val="20"/>
        </w:rPr>
        <w:t>March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details the final allocation of the purchase price of the assets acquired and liabilities assumed in connection with the acquisition of Kobelt.</w:t>
      </w:r>
    </w:p>
    <w:p>
      <w:pPr>
        <w:pStyle w:val="TextBody"/>
        <w:bidi w:val="0"/>
        <w:spacing w:before="0" w:after="0"/>
        <w:ind w:left="0" w:right="0" w:hanging="0"/>
        <w:jc w:val="left"/>
        <w:rPr>
          <w:caps w:val="false"/>
          <w:smallCaps w:val="false"/>
        </w:rPr>
      </w:pPr>
      <w:r>
        <w:rPr>
          <w:caps w:val="false"/>
          <w:smallCaps w:val="false"/>
        </w:rPr>
        <w:t> </w:t>
      </w:r>
    </w:p>
    <w:tbl>
      <w:tblPr>
        <w:tblW w:w="3750" w:type="dxa"/>
        <w:jc w:val="left"/>
        <w:tblInd w:w="0" w:type="dxa"/>
        <w:tblLayout w:type="fixed"/>
        <w:tblCellMar>
          <w:top w:w="0" w:type="dxa"/>
          <w:left w:w="0" w:type="dxa"/>
          <w:bottom w:w="0" w:type="dxa"/>
          <w:right w:w="0" w:type="dxa"/>
        </w:tblCellMar>
      </w:tblPr>
      <w:tblGrid>
        <w:gridCol w:w="2915"/>
        <w:gridCol w:w="60"/>
        <w:gridCol w:w="125"/>
        <w:gridCol w:w="590"/>
        <w:gridCol w:w="60"/>
      </w:tblGrid>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purchase price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17,102</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Earnout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consideration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17,476</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acquired: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1,881</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5,984</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5,031</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2,847</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acquired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16,273</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assumed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assumed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1,603</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identified net assets acquired: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14,670</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2,806</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price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17,476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Final Fair Value of Assets Acquired and Liabilities Assumed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completed its review of the fair value of the assets acquired and liabilities assumed in connection with the acquisition of Kobelt. The measurement period has ended, and the Company has made its final determination of the acquisition-date fair values of the assets acquired and liabilities assumed. The amounts reflected in the purchase price allocation table represent the final allocation of the purchase price based on information obtained about facts and circumstances that existed as of the acquisition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excess of the purchase price over the final fair values assigned to the identifiable assets acquired and liabilities assumed was recorded as goodwill. Goodwill recognized in the acquisition is primarily attributable to the expected benefits from combining Kobelt’s operations with the Company’s existing business, including anticipated operating synergies, expanded product offerings and future growth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summarizes the final fair value of the assets acquired and liabilities assumed at the acquisition date:</w:t>
      </w:r>
    </w:p>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3260"/>
        <w:gridCol w:w="60"/>
        <w:gridCol w:w="125"/>
        <w:gridCol w:w="590"/>
        <w:gridCol w:w="80"/>
        <w:gridCol w:w="260"/>
      </w:tblGrid>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acquired and liabilities assumed: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r>
      <w:tr>
        <w:trPr/>
        <w:tc>
          <w:tcPr>
            <w:tcW w:w="32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8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jc w:val="center"/>
              <w:rPr/>
            </w:pPr>
            <w:r>
              <w:rPr>
                <w:rStyle w:val="Emphasis"/>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1,881</w:t>
            </w:r>
          </w:p>
        </w:tc>
        <w:tc>
          <w:tcPr>
            <w:tcW w:w="8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jc w:val="center"/>
              <w:rPr/>
            </w:pPr>
            <w:r>
              <w:rPr>
                <w:rStyle w:val="Emphasis"/>
                <w:rFonts w:ascii="Times New Roman;Times;serif" w:hAnsi="Times New Roman;Times;serif"/>
                <w:sz w:val="20"/>
              </w:rPr>
              <w:t>(a)</w:t>
            </w:r>
          </w:p>
        </w:tc>
      </w:tr>
      <w:tr>
        <w:trPr/>
        <w:tc>
          <w:tcPr>
            <w:tcW w:w="32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5,984</w:t>
            </w:r>
          </w:p>
        </w:tc>
        <w:tc>
          <w:tcPr>
            <w:tcW w:w="8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jc w:val="center"/>
              <w:rPr/>
            </w:pPr>
            <w:r>
              <w:rPr>
                <w:rStyle w:val="Emphasis"/>
                <w:rFonts w:ascii="Times New Roman;Times;serif" w:hAnsi="Times New Roman;Times;serif"/>
                <w:sz w:val="20"/>
              </w:rPr>
              <w:t>(b)</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8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jc w:val="center"/>
              <w:rPr/>
            </w:pPr>
            <w:r>
              <w:rPr>
                <w:rStyle w:val="Emphasis"/>
              </w:rPr>
              <w:t> </w:t>
            </w:r>
          </w:p>
        </w:tc>
      </w:tr>
      <w:tr>
        <w:trPr/>
        <w:tc>
          <w:tcPr>
            <w:tcW w:w="32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5,031</w:t>
            </w:r>
          </w:p>
        </w:tc>
        <w:tc>
          <w:tcPr>
            <w:tcW w:w="8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jc w:val="center"/>
              <w:rPr/>
            </w:pPr>
            <w:r>
              <w:rPr>
                <w:rStyle w:val="Emphasis"/>
                <w:rFonts w:ascii="Times New Roman;Times;serif" w:hAnsi="Times New Roman;Times;serif"/>
                <w:sz w:val="20"/>
              </w:rPr>
              <w:t>(c)</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2,847</w:t>
            </w:r>
          </w:p>
        </w:tc>
        <w:tc>
          <w:tcPr>
            <w:tcW w:w="8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jc w:val="center"/>
              <w:rPr/>
            </w:pPr>
            <w:r>
              <w:rPr>
                <w:rStyle w:val="Emphasis"/>
                <w:rFonts w:ascii="Times New Roman;Times;serif" w:hAnsi="Times New Roman;Times;serif"/>
                <w:sz w:val="20"/>
              </w:rPr>
              <w:t>(d)</w:t>
            </w:r>
          </w:p>
        </w:tc>
      </w:tr>
      <w:tr>
        <w:trPr/>
        <w:tc>
          <w:tcPr>
            <w:tcW w:w="32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FFFFFF" w:val="clear"/>
            <w:vAlign w:val="center"/>
          </w:tcPr>
          <w:p>
            <w:pPr>
              <w:pStyle w:val="TableContents"/>
              <w:bidi w:val="0"/>
              <w:spacing w:before="0" w:after="283"/>
              <w:jc w:val="center"/>
              <w:rPr/>
            </w:pPr>
            <w:r>
              <w:rPr>
                <w:rStyle w:val="Emphasis"/>
              </w:rPr>
              <w:t> </w:t>
            </w:r>
          </w:p>
        </w:tc>
      </w:tr>
      <w:tr>
        <w:trPr/>
        <w:tc>
          <w:tcPr>
            <w:tcW w:w="32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vAlign w:val="center"/>
          </w:tcPr>
          <w:p>
            <w:pPr>
              <w:pStyle w:val="TableContents"/>
              <w:bidi w:val="0"/>
              <w:spacing w:before="0" w:after="283"/>
              <w:jc w:val="center"/>
              <w:rPr/>
            </w:pPr>
            <w:r>
              <w:rPr>
                <w:rStyle w:val="Emphasis"/>
                <w:rFonts w:ascii="Times New Roman;Times;serif" w:hAnsi="Times New Roman;Times;serif"/>
                <w:sz w:val="20"/>
              </w:rPr>
              <w:t>(e)</w:t>
            </w:r>
          </w:p>
        </w:tc>
      </w:tr>
      <w:tr>
        <w:trPr/>
        <w:tc>
          <w:tcPr>
            <w:tcW w:w="32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FFFFFF" w:val="clear"/>
            <w:vAlign w:val="center"/>
          </w:tcPr>
          <w:p>
            <w:pPr>
              <w:pStyle w:val="TableContents"/>
              <w:bidi w:val="0"/>
              <w:spacing w:before="0" w:after="283"/>
              <w:jc w:val="center"/>
              <w:rPr/>
            </w:pPr>
            <w:r>
              <w:rPr>
                <w:rStyle w:val="Emphasis"/>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identified net assets acquired: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14,670</w:t>
            </w:r>
          </w:p>
        </w:tc>
        <w:tc>
          <w:tcPr>
            <w:tcW w:w="8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jc w:val="center"/>
              <w:rPr/>
            </w:pPr>
            <w:r>
              <w:rPr>
                <w:rStyle w:val="Emphasis"/>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2,806</w:t>
            </w:r>
          </w:p>
        </w:tc>
        <w:tc>
          <w:tcPr>
            <w:tcW w:w="8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jc w:val="center"/>
              <w:rPr/>
            </w:pPr>
            <w:r>
              <w:rPr>
                <w:rStyle w:val="Emphasis"/>
                <w:rFonts w:ascii="Times New Roman;Times;serif" w:hAnsi="Times New Roman;Times;serif"/>
                <w:sz w:val="20"/>
              </w:rPr>
              <w:t>(f)</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price consideration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17,476</w:t>
            </w:r>
          </w:p>
        </w:tc>
        <w:tc>
          <w:tcPr>
            <w:tcW w:w="8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jc w:val="center"/>
              <w:rPr/>
            </w:pPr>
            <w:r>
              <w:rPr>
                <w:rStyle w:val="Emphasis"/>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information provides further details about the final fair values assigned to certain assets acquired and liabilities assumed at the acquisition date for key balance sheet items.</w:t>
      </w:r>
    </w:p>
    <w:p>
      <w:pPr>
        <w:pStyle w:val="TextBody"/>
        <w:bidi w:val="0"/>
        <w:spacing w:before="0" w:after="0"/>
        <w:ind w:left="0" w:right="0" w:hanging="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60"/>
        <w:gridCol w:w="230"/>
        <w:gridCol w:w="936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represent contractual amounts receivable from customers. The amounts approximate fair value.</w:t>
            </w:r>
          </w:p>
        </w:tc>
      </w:tr>
    </w:tbl>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60"/>
        <w:gridCol w:w="245"/>
        <w:gridCol w:w="177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7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consists of:</w:t>
            </w:r>
          </w:p>
        </w:tc>
      </w:tr>
    </w:tbl>
    <w:tbl>
      <w:tblPr>
        <w:tblW w:w="3135" w:type="dxa"/>
        <w:jc w:val="left"/>
        <w:tblInd w:w="0" w:type="dxa"/>
        <w:tblLayout w:type="fixed"/>
        <w:tblCellMar>
          <w:top w:w="0" w:type="dxa"/>
          <w:left w:w="0" w:type="dxa"/>
          <w:bottom w:w="0" w:type="dxa"/>
          <w:right w:w="0" w:type="dxa"/>
        </w:tblCellMar>
      </w:tblPr>
      <w:tblGrid>
        <w:gridCol w:w="2405"/>
        <w:gridCol w:w="60"/>
        <w:gridCol w:w="125"/>
        <w:gridCol w:w="485"/>
        <w:gridCol w:w="60"/>
      </w:tblGrid>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4,622</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progress at fair value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 at fair value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5,984</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at book value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5,558</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Step-up</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60"/>
        <w:gridCol w:w="230"/>
        <w:gridCol w:w="464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46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value of property, plant and equipment is as follows:</w:t>
            </w:r>
          </w:p>
        </w:tc>
      </w:tr>
    </w:tbl>
    <w:tbl>
      <w:tblPr>
        <w:tblW w:w="4365" w:type="dxa"/>
        <w:jc w:val="left"/>
        <w:tblInd w:w="0" w:type="dxa"/>
        <w:tblLayout w:type="fixed"/>
        <w:tblCellMar>
          <w:top w:w="0" w:type="dxa"/>
          <w:left w:w="0" w:type="dxa"/>
          <w:bottom w:w="0" w:type="dxa"/>
          <w:right w:w="0" w:type="dxa"/>
        </w:tblCellMar>
      </w:tblPr>
      <w:tblGrid>
        <w:gridCol w:w="3635"/>
        <w:gridCol w:w="60"/>
        <w:gridCol w:w="125"/>
        <w:gridCol w:w="485"/>
        <w:gridCol w:w="60"/>
      </w:tblGrid>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Dies, tools and fixtures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2,976</w:t>
            </w:r>
          </w:p>
        </w:tc>
        <w:tc>
          <w:tcPr>
            <w:tcW w:w="6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1,718</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6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5,031</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at book value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2,156</w:t>
            </w:r>
          </w:p>
        </w:tc>
        <w:tc>
          <w:tcPr>
            <w:tcW w:w="6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Step-up</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60"/>
        <w:gridCol w:w="245"/>
        <w:gridCol w:w="225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22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consist of:</w:t>
            </w:r>
          </w:p>
        </w:tc>
      </w:tr>
    </w:tbl>
    <w:tbl>
      <w:tblPr>
        <w:tblW w:w="4994" w:type="dxa"/>
        <w:jc w:val="left"/>
        <w:tblInd w:w="0" w:type="dxa"/>
        <w:tblLayout w:type="fixed"/>
        <w:tblCellMar>
          <w:top w:w="0" w:type="dxa"/>
          <w:left w:w="0" w:type="dxa"/>
          <w:bottom w:w="0" w:type="dxa"/>
          <w:right w:w="0" w:type="dxa"/>
        </w:tblCellMar>
      </w:tblPr>
      <w:tblGrid>
        <w:gridCol w:w="2420"/>
        <w:gridCol w:w="60"/>
        <w:gridCol w:w="170"/>
        <w:gridCol w:w="660"/>
        <w:gridCol w:w="60"/>
        <w:gridCol w:w="60"/>
        <w:gridCol w:w="310"/>
        <w:gridCol w:w="1194"/>
        <w:gridCol w:w="60"/>
      </w:tblGrid>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 average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useful lives</w:t>
            </w:r>
          </w:p>
        </w:tc>
        <w:tc>
          <w:tcPr>
            <w:tcW w:w="60"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Tradename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ind w:left="0" w:right="0" w:hanging="0"/>
              <w:jc w:val="left"/>
              <w:rPr/>
            </w:pPr>
            <w:r>
              <w:rPr/>
              <w:t> </w:t>
            </w:r>
          </w:p>
        </w:tc>
        <w:tc>
          <w:tcPr>
            <w:tcW w:w="11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Backlog</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4"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&lt;1</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ind w:left="0" w:right="0" w:hanging="0"/>
              <w:jc w:val="left"/>
              <w:rPr/>
            </w:pPr>
            <w:r>
              <w:rPr/>
              <w:t> </w:t>
            </w:r>
          </w:p>
        </w:tc>
        <w:tc>
          <w:tcPr>
            <w:tcW w:w="11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Software - External</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ind w:left="0" w:right="0" w:hanging="0"/>
              <w:jc w:val="left"/>
              <w:rPr/>
            </w:pPr>
            <w:r>
              <w:rPr/>
              <w:t> </w:t>
            </w:r>
          </w:p>
        </w:tc>
        <w:tc>
          <w:tcPr>
            <w:tcW w:w="11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ind w:left="0" w:right="0" w:hanging="0"/>
              <w:jc w:val="left"/>
              <w:rPr/>
            </w:pPr>
            <w:r>
              <w:rPr/>
              <w:t> </w:t>
            </w:r>
          </w:p>
        </w:tc>
        <w:tc>
          <w:tcPr>
            <w:tcW w:w="11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60"/>
        <w:gridCol w:w="230"/>
        <w:gridCol w:w="299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2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amounts approximate fair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9"/>
        <w:gridCol w:w="9976"/>
      </w:tblGrid>
      <w:tr>
        <w:trPr/>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997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recorded goodwill of $2,806 associated with the acquisition. The goodwill represents the excess of the purchase price consideration over the final fair value assigned to the identifiable assets acquired and liabilities assumed.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TWIN DISC, INCORPORATED AND SUBSIDIARIES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SCHEDULE II - VALUATION AND QUALIFYING ACCOUNTS</w:t>
      </w:r>
    </w:p>
    <w:p>
      <w:pPr>
        <w:pStyle w:val="TextBody"/>
        <w:bidi w:val="0"/>
        <w:spacing w:before="0" w:after="0"/>
        <w:ind w:left="0" w:right="0" w:hanging="0"/>
        <w:jc w:val="left"/>
        <w:rPr/>
      </w:pPr>
      <w:r>
        <w:rPr>
          <w:rFonts w:ascii="Times New Roman" w:hAnsi="Times New Roman"/>
          <w:b/>
          <w:caps w:val="false"/>
          <w:smallCaps w:val="false"/>
          <w:sz w:val="20"/>
        </w:rPr>
        <w:t xml:space="preserve">For the years ended </w:t>
      </w:r>
      <w:r>
        <w:rPr>
          <w:rStyle w:val="Emphasis"/>
          <w:rFonts w:ascii="Times New Roman" w:hAnsi="Times New Roman"/>
          <w:b/>
          <w:caps w:val="false"/>
          <w:smallCaps w:val="false"/>
          <w:sz w:val="20"/>
        </w:rPr>
        <w:t xml:space="preserve">June 30, 2026 </w:t>
      </w:r>
      <w:r>
        <w:rPr>
          <w:rFonts w:ascii="Times New Roman" w:hAnsi="Times New Roman"/>
          <w:b/>
          <w:caps w:val="false"/>
          <w:smallCaps w:val="false"/>
          <w:sz w:val="20"/>
        </w:rPr>
        <w:t xml:space="preserve">and </w:t>
      </w:r>
      <w:r>
        <w:rPr>
          <w:rStyle w:val="Emphasis"/>
          <w:rFonts w:ascii="Times New Roman" w:hAnsi="Times New Roman"/>
          <w:b/>
          <w:caps w:val="false"/>
          <w:smallCaps w:val="false"/>
          <w:sz w:val="20"/>
        </w:rPr>
        <w:t>2025</w:t>
      </w:r>
      <w:r>
        <w:rPr>
          <w:rFonts w:ascii="Times New Roman" w:hAnsi="Times New Roman"/>
          <w:b/>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9031" w:type="dxa"/>
        <w:jc w:val="left"/>
        <w:tblInd w:w="0" w:type="dxa"/>
        <w:tblLayout w:type="fixed"/>
        <w:tblCellMar>
          <w:top w:w="0" w:type="dxa"/>
          <w:left w:w="0" w:type="dxa"/>
          <w:bottom w:w="0" w:type="dxa"/>
          <w:right w:w="0" w:type="dxa"/>
        </w:tblCellMar>
      </w:tblPr>
      <w:tblGrid>
        <w:gridCol w:w="4100"/>
        <w:gridCol w:w="60"/>
        <w:gridCol w:w="191"/>
        <w:gridCol w:w="908"/>
        <w:gridCol w:w="60"/>
        <w:gridCol w:w="60"/>
        <w:gridCol w:w="171"/>
        <w:gridCol w:w="748"/>
        <w:gridCol w:w="80"/>
        <w:gridCol w:w="60"/>
        <w:gridCol w:w="203"/>
        <w:gridCol w:w="1061"/>
        <w:gridCol w:w="80"/>
        <w:gridCol w:w="60"/>
        <w:gridCol w:w="197"/>
        <w:gridCol w:w="932"/>
        <w:gridCol w:w="60"/>
      </w:tblGrid>
      <w:tr>
        <w:trPr/>
        <w:tc>
          <w:tcPr>
            <w:tcW w:w="41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Description</w:t>
            </w:r>
          </w:p>
        </w:tc>
        <w:tc>
          <w:tcPr>
            <w:tcW w:w="60" w:type="dxa"/>
            <w:tcBorders/>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Period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Charged to</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losses on accounts receivable</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1,647</w:t>
            </w:r>
          </w:p>
        </w:tc>
        <w:tc>
          <w:tcPr>
            <w:tcW w:w="6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 for inventory obsolescence</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16,190</w:t>
            </w:r>
          </w:p>
        </w:tc>
        <w:tc>
          <w:tcPr>
            <w:tcW w:w="6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valuation allowance (As Adjusted)</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6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losses on 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w:t>
            </w:r>
          </w:p>
        </w:tc>
        <w:tc>
          <w:tcPr>
            <w:tcW w:w="6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 for inventory obsolescence</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16,016</w:t>
            </w:r>
          </w:p>
        </w:tc>
        <w:tc>
          <w:tcPr>
            <w:tcW w:w="6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valuation allowance (As Adjusted)</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998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Activity primarily represents amounts written-off during the year, along with other adjustments (primarily foreign currency translation adjustments).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74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TWIN DISC, INCORPORATED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 for Year Ended June 30, 2026</w:t>
      </w:r>
    </w:p>
    <w:tbl>
      <w:tblPr>
        <w:tblW w:w="10205" w:type="dxa"/>
        <w:jc w:val="left"/>
        <w:tblInd w:w="0" w:type="dxa"/>
        <w:tblLayout w:type="fixed"/>
        <w:tblCellMar>
          <w:top w:w="0" w:type="dxa"/>
          <w:left w:w="0" w:type="dxa"/>
          <w:bottom w:w="0" w:type="dxa"/>
          <w:right w:w="0" w:type="dxa"/>
        </w:tblCellMar>
      </w:tblPr>
      <w:tblGrid>
        <w:gridCol w:w="744"/>
        <w:gridCol w:w="8705"/>
        <w:gridCol w:w="756"/>
      </w:tblGrid>
      <w:tr>
        <w:trPr/>
        <w:tc>
          <w:tcPr>
            <w:tcW w:w="7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w:t>
            </w:r>
          </w:p>
        </w:tc>
        <w:tc>
          <w:tcPr>
            <w:tcW w:w="87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c>
          <w:tcPr>
            <w:tcW w:w="7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Included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Herewith</w:t>
            </w:r>
          </w:p>
        </w:tc>
      </w:tr>
      <w:tr>
        <w:trPr/>
        <w:tc>
          <w:tcPr>
            <w:tcW w:w="7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3a)</w:t>
            </w:r>
          </w:p>
        </w:tc>
        <w:tc>
          <w:tcPr>
            <w:tcW w:w="8705" w:type="dxa"/>
            <w:tcBorders/>
            <w:vAlign w:val="center"/>
          </w:tcPr>
          <w:p>
            <w:pPr>
              <w:pStyle w:val="TableContents"/>
              <w:bidi w:val="0"/>
              <w:spacing w:before="0" w:after="0"/>
              <w:ind w:left="0" w:right="0" w:hanging="0"/>
              <w:jc w:val="left"/>
              <w:rPr/>
            </w:pPr>
            <w:hyperlink r:id="rId12">
              <w:r>
                <w:rPr>
                  <w:rStyle w:val="InternetLink"/>
                  <w:rFonts w:ascii="Times New Roman" w:hAnsi="Times New Roman"/>
                  <w:caps w:val="false"/>
                  <w:smallCaps w:val="false"/>
                  <w:sz w:val="20"/>
                  <w:u w:val="single"/>
                </w:rPr>
                <w:t>Restated Articles of Incorporation of Twin Disc, Incorporated (Incorporated by reference to Exhibit 3.1 of the Company's Form 8</w:t>
                <w:noBreakHyphen/>
                <w:t>K dated December 6, 2007). File No. 001-07635.</w:t>
              </w:r>
            </w:hyperlink>
          </w:p>
        </w:tc>
        <w:tc>
          <w:tcPr>
            <w:tcW w:w="756"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3b)</w:t>
            </w:r>
          </w:p>
        </w:tc>
        <w:tc>
          <w:tcPr>
            <w:tcW w:w="8705" w:type="dxa"/>
            <w:tcBorders/>
            <w:vAlign w:val="center"/>
          </w:tcPr>
          <w:p>
            <w:pPr>
              <w:pStyle w:val="TableContents"/>
              <w:bidi w:val="0"/>
              <w:spacing w:before="0" w:after="0"/>
              <w:ind w:left="0" w:right="0" w:hanging="0"/>
              <w:jc w:val="left"/>
              <w:rPr/>
            </w:pPr>
            <w:hyperlink r:id="rId13">
              <w:r>
                <w:rPr>
                  <w:rStyle w:val="InternetLink"/>
                  <w:rFonts w:ascii="Times New Roman" w:hAnsi="Times New Roman"/>
                  <w:caps w:val="false"/>
                  <w:smallCaps w:val="false"/>
                  <w:sz w:val="20"/>
                </w:rPr>
                <w:t>Articles of Amendment to the Restated Articles of Incorporation of Twin Disc, Incorporated (Incorporated by reference to Exhibit 3.1 of the Company's Form 8</w:t>
                <w:noBreakHyphen/>
                <w:t>K dated October 29, 2020). File No. 001-07635.</w:t>
              </w:r>
            </w:hyperlink>
          </w:p>
        </w:tc>
        <w:tc>
          <w:tcPr>
            <w:tcW w:w="756"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3c)</w:t>
            </w:r>
          </w:p>
        </w:tc>
        <w:tc>
          <w:tcPr>
            <w:tcW w:w="8705" w:type="dxa"/>
            <w:tcBorders/>
            <w:vAlign w:val="center"/>
          </w:tcPr>
          <w:p>
            <w:pPr>
              <w:pStyle w:val="TableContents"/>
              <w:bidi w:val="0"/>
              <w:spacing w:before="0" w:after="0"/>
              <w:ind w:left="0" w:right="0" w:hanging="0"/>
              <w:jc w:val="left"/>
              <w:rPr/>
            </w:pPr>
            <w:hyperlink r:id="rId14">
              <w:r>
                <w:rPr>
                  <w:rStyle w:val="InternetLink"/>
                  <w:rFonts w:ascii="Times New Roman" w:hAnsi="Times New Roman"/>
                  <w:caps w:val="false"/>
                  <w:smallCaps w:val="false"/>
                  <w:sz w:val="20"/>
                </w:rPr>
                <w:t>Restated Bylaws of Twin Disc, Incorporated, as amended through October 29, 2021 (Incorporated by reference to Exhibit 3.2 of the Company's Form 8</w:t>
                <w:noBreakHyphen/>
                <w:t>K dated October 29, 2020). File No. 001-07635.</w:t>
              </w:r>
            </w:hyperlink>
          </w:p>
        </w:tc>
        <w:tc>
          <w:tcPr>
            <w:tcW w:w="756"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w:t>
            </w:r>
          </w:p>
        </w:tc>
        <w:tc>
          <w:tcPr>
            <w:tcW w:w="87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Material Contracts</w:t>
            </w:r>
          </w:p>
        </w:tc>
        <w:tc>
          <w:tcPr>
            <w:tcW w:w="7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Included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Herewith</w:t>
            </w:r>
          </w:p>
        </w:tc>
      </w:tr>
      <w:tr>
        <w:trPr/>
        <w:tc>
          <w:tcPr>
            <w:tcW w:w="744"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8705" w:type="dxa"/>
            <w:tcBorders/>
            <w:vAlign w:val="center"/>
          </w:tcPr>
          <w:p>
            <w:pPr>
              <w:pStyle w:val="TableContents"/>
              <w:bidi w:val="0"/>
              <w:spacing w:before="0" w:after="0"/>
              <w:ind w:left="0" w:right="0" w:hanging="0"/>
              <w:jc w:val="left"/>
              <w:rPr/>
            </w:pPr>
            <w:hyperlink r:id="rId15">
              <w:r>
                <w:rPr>
                  <w:rStyle w:val="InternetLink"/>
                  <w:rFonts w:ascii="Times New Roman" w:hAnsi="Times New Roman"/>
                  <w:caps w:val="false"/>
                  <w:smallCaps w:val="false"/>
                  <w:sz w:val="20"/>
                  <w:u w:val="single"/>
                </w:rPr>
                <w:t>Director Tenure and Retirement Policy (Incorporated by reference to Exhibit 10.A of the Company’s Form 10-K dated September 2, 2021). File No. 001-07635.</w:t>
              </w:r>
            </w:hyperlink>
          </w:p>
        </w:tc>
        <w:tc>
          <w:tcPr>
            <w:tcW w:w="756"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8705" w:type="dxa"/>
            <w:tcBorders/>
            <w:vAlign w:val="center"/>
          </w:tcPr>
          <w:p>
            <w:pPr>
              <w:pStyle w:val="TableContents"/>
              <w:bidi w:val="0"/>
              <w:spacing w:before="0" w:after="0"/>
              <w:ind w:left="0" w:right="0" w:hanging="0"/>
              <w:jc w:val="left"/>
              <w:rPr/>
            </w:pPr>
            <w:hyperlink r:id="rId16">
              <w:r>
                <w:rPr>
                  <w:rStyle w:val="InternetLink"/>
                  <w:rFonts w:ascii="Times New Roman" w:hAnsi="Times New Roman"/>
                  <w:caps w:val="false"/>
                  <w:smallCaps w:val="false"/>
                  <w:sz w:val="20"/>
                </w:rPr>
                <w:t>Twin Disc, Incorporated Amended and Restated 2021 Omnibus Incentive Plan (Incorporated by reference to Exhibit 10.1 of the Company’s Form 8-K dated August 11, 2026). File No. 001-07635.</w:t>
              </w:r>
            </w:hyperlink>
          </w:p>
        </w:tc>
        <w:tc>
          <w:tcPr>
            <w:tcW w:w="756"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8705" w:type="dxa"/>
            <w:tcBorders/>
            <w:vAlign w:val="center"/>
          </w:tcPr>
          <w:p>
            <w:pPr>
              <w:pStyle w:val="TableContents"/>
              <w:bidi w:val="0"/>
              <w:spacing w:before="0" w:after="0"/>
              <w:ind w:left="0" w:right="0" w:hanging="0"/>
              <w:jc w:val="left"/>
              <w:rPr/>
            </w:pPr>
            <w:hyperlink r:id="rId17">
              <w:r>
                <w:rPr>
                  <w:rStyle w:val="InternetLink"/>
                  <w:rFonts w:ascii="Times New Roman" w:hAnsi="Times New Roman"/>
                  <w:caps w:val="false"/>
                  <w:smallCaps w:val="false"/>
                  <w:sz w:val="20"/>
                </w:rPr>
                <w:t>Twin Disc, Incorporated Amended and Restated 2021 Omnibus Incentive Plan (Incorporated by reference to Exhibit 10.1 of the Company’s Form 8-K dated August 6, 2024). File No. 001-07635.</w:t>
              </w:r>
            </w:hyperlink>
          </w:p>
        </w:tc>
        <w:tc>
          <w:tcPr>
            <w:tcW w:w="756"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8705" w:type="dxa"/>
            <w:tcBorders/>
            <w:vAlign w:val="center"/>
          </w:tcPr>
          <w:p>
            <w:pPr>
              <w:pStyle w:val="TableContents"/>
              <w:bidi w:val="0"/>
              <w:spacing w:before="0" w:after="0"/>
              <w:ind w:left="0" w:right="0" w:hanging="0"/>
              <w:jc w:val="left"/>
              <w:rPr/>
            </w:pPr>
            <w:hyperlink r:id="rId18">
              <w:r>
                <w:rPr>
                  <w:rStyle w:val="InternetLink"/>
                  <w:rFonts w:ascii="Times New Roman" w:hAnsi="Times New Roman"/>
                  <w:caps w:val="false"/>
                  <w:smallCaps w:val="false"/>
                  <w:sz w:val="20"/>
                  <w:u w:val="single"/>
                </w:rPr>
                <w:t>The Twin Disc, Incorporated 2021 Long-Term Incentive Compensation Plan (Incorporated by reference to Appendix A of the Proxy Statement for the Annual Meeting of Shareholders held on October 28, 2021). File No. 001-07635.</w:t>
              </w:r>
            </w:hyperlink>
          </w:p>
        </w:tc>
        <w:tc>
          <w:tcPr>
            <w:tcW w:w="756"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10048" w:type="dxa"/>
            <w:tcBorders/>
            <w:vAlign w:val="center"/>
          </w:tcPr>
          <w:p>
            <w:pPr>
              <w:pStyle w:val="TableContents"/>
              <w:bidi w:val="0"/>
              <w:spacing w:before="0" w:after="0"/>
              <w:ind w:left="0" w:right="0" w:hanging="0"/>
              <w:jc w:val="left"/>
              <w:rPr/>
            </w:pPr>
            <w:hyperlink r:id="rId19">
              <w:r>
                <w:rPr>
                  <w:rStyle w:val="InternetLink"/>
                  <w:rFonts w:ascii="Times New Roman" w:hAnsi="Times New Roman"/>
                  <w:caps w:val="false"/>
                  <w:smallCaps w:val="false"/>
                  <w:sz w:val="20"/>
                  <w:u w:val="single"/>
                </w:rPr>
                <w:t>Form of Restricted Stock Grant Agreement for restricted stock grants on August 3, 2023 (Incorporated by reference to Exhibit 10.1 of the Company’s Form 8-K dated August 9, 2023). File No. 001-07635.</w:t>
              </w:r>
            </w:hyperlink>
          </w:p>
        </w:tc>
      </w:tr>
      <w:tr>
        <w:trPr/>
        <w:tc>
          <w:tcPr>
            <w:tcW w:w="1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0048" w:type="dxa"/>
            <w:tcBorders/>
            <w:vAlign w:val="center"/>
          </w:tcPr>
          <w:p>
            <w:pPr>
              <w:pStyle w:val="TableContents"/>
              <w:bidi w:val="0"/>
              <w:spacing w:before="0" w:after="0"/>
              <w:ind w:left="0" w:right="0" w:hanging="0"/>
              <w:jc w:val="left"/>
              <w:rPr/>
            </w:pPr>
            <w:hyperlink r:id="rId20">
              <w:r>
                <w:rPr>
                  <w:rStyle w:val="InternetLink"/>
                  <w:rFonts w:ascii="Times New Roman" w:hAnsi="Times New Roman"/>
                  <w:caps w:val="false"/>
                  <w:smallCaps w:val="false"/>
                  <w:sz w:val="20"/>
                </w:rPr>
                <w:t>Form of Performance Stock Award Grant Agreement for award of performance shares on August 4, 2023 (Incorporated by reference to Exhibit 10.2 of the Company’s Form 8-K dated August 9, 2023). File No. 001-07635.</w:t>
              </w:r>
            </w:hyperlink>
          </w:p>
        </w:tc>
      </w:tr>
      <w:tr>
        <w:trPr/>
        <w:tc>
          <w:tcPr>
            <w:tcW w:w="1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10048" w:type="dxa"/>
            <w:tcBorders/>
            <w:vAlign w:val="center"/>
          </w:tcPr>
          <w:p>
            <w:pPr>
              <w:pStyle w:val="TableContents"/>
              <w:bidi w:val="0"/>
              <w:spacing w:before="0" w:after="0"/>
              <w:ind w:left="0" w:right="0" w:hanging="0"/>
              <w:jc w:val="left"/>
              <w:rPr/>
            </w:pPr>
            <w:hyperlink r:id="rId21">
              <w:r>
                <w:rPr>
                  <w:rStyle w:val="InternetLink"/>
                  <w:rFonts w:ascii="Times New Roman" w:hAnsi="Times New Roman"/>
                  <w:caps w:val="false"/>
                  <w:smallCaps w:val="false"/>
                  <w:sz w:val="20"/>
                </w:rPr>
                <w:t>Form of Restricted Stock Unit Grant Agreement for restricted stock unit grants on August 1, 2024 (Incorporated by reference to Exhibit 10.2 of the Company’s Form 8-K dated August 6, 2024). File No. 001-07635.</w:t>
              </w:r>
            </w:hyperlink>
          </w:p>
        </w:tc>
      </w:tr>
      <w:tr>
        <w:trPr/>
        <w:tc>
          <w:tcPr>
            <w:tcW w:w="1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10048" w:type="dxa"/>
            <w:tcBorders/>
            <w:vAlign w:val="center"/>
          </w:tcPr>
          <w:p>
            <w:pPr>
              <w:pStyle w:val="TableContents"/>
              <w:bidi w:val="0"/>
              <w:spacing w:before="0" w:after="0"/>
              <w:ind w:left="0" w:right="0" w:hanging="0"/>
              <w:jc w:val="left"/>
              <w:rPr/>
            </w:pPr>
            <w:hyperlink r:id="rId22">
              <w:r>
                <w:rPr>
                  <w:rStyle w:val="InternetLink"/>
                  <w:rFonts w:ascii="Times New Roman" w:hAnsi="Times New Roman"/>
                  <w:caps w:val="false"/>
                  <w:smallCaps w:val="false"/>
                  <w:sz w:val="20"/>
                </w:rPr>
                <w:t>Form of Performance Stock Award Grant Agreement for performance stock grants on August 1, 2024 (Incorporated by reference to Exhibit 10.3 of the Company’s Form 8-K dated August 6, 2024). File No. 001-07635.</w:t>
              </w:r>
            </w:hyperlink>
          </w:p>
        </w:tc>
      </w:tr>
      <w:tr>
        <w:trPr/>
        <w:tc>
          <w:tcPr>
            <w:tcW w:w="1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48" w:type="dxa"/>
            <w:tcBorders/>
            <w:vAlign w:val="center"/>
          </w:tcPr>
          <w:p>
            <w:pPr>
              <w:pStyle w:val="TableContents"/>
              <w:bidi w:val="0"/>
              <w:spacing w:before="0" w:after="0"/>
              <w:ind w:left="0" w:right="0" w:hanging="0"/>
              <w:jc w:val="left"/>
              <w:rPr/>
            </w:pPr>
            <w:hyperlink r:id="rId23">
              <w:r>
                <w:rPr>
                  <w:rStyle w:val="InternetLink"/>
                  <w:rFonts w:ascii="Times New Roman" w:hAnsi="Times New Roman"/>
                  <w:caps w:val="false"/>
                  <w:smallCaps w:val="false"/>
                  <w:sz w:val="20"/>
                </w:rPr>
                <w:t>Form of Restricted Stock Grant Agreement for restricted stock grants on August 6, 2025 (Incorporated by reference to Exhibit 10.1 of the Company’s Form 8-K dated August 12, 2025). File No. 001-07635.</w:t>
              </w:r>
            </w:hyperlink>
          </w:p>
        </w:tc>
      </w:tr>
      <w:tr>
        <w:trPr/>
        <w:tc>
          <w:tcPr>
            <w:tcW w:w="1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w:t>
            </w:r>
          </w:p>
        </w:tc>
        <w:tc>
          <w:tcPr>
            <w:tcW w:w="10048" w:type="dxa"/>
            <w:tcBorders/>
            <w:vAlign w:val="center"/>
          </w:tcPr>
          <w:p>
            <w:pPr>
              <w:pStyle w:val="TableContents"/>
              <w:bidi w:val="0"/>
              <w:spacing w:before="0" w:after="0"/>
              <w:ind w:left="0" w:right="0" w:hanging="0"/>
              <w:jc w:val="left"/>
              <w:rPr/>
            </w:pPr>
            <w:hyperlink r:id="rId24">
              <w:r>
                <w:rPr>
                  <w:rStyle w:val="InternetLink"/>
                  <w:rFonts w:ascii="Times New Roman" w:hAnsi="Times New Roman"/>
                  <w:caps w:val="false"/>
                  <w:smallCaps w:val="false"/>
                  <w:sz w:val="20"/>
                </w:rPr>
                <w:t>Form of Performance Stock Award Grant Agreement for award of performance shares on August 6, 2025 (Incorporated by reference to Exhibit 10.2 of the Company’s Form 8-K dated August 12, 2025). File No. 001-07635.</w:t>
              </w:r>
            </w:hyperlink>
          </w:p>
        </w:tc>
      </w:tr>
      <w:tr>
        <w:trPr/>
        <w:tc>
          <w:tcPr>
            <w:tcW w:w="1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w:t>
            </w:r>
          </w:p>
        </w:tc>
        <w:tc>
          <w:tcPr>
            <w:tcW w:w="10048" w:type="dxa"/>
            <w:tcBorders/>
            <w:vAlign w:val="center"/>
          </w:tcPr>
          <w:p>
            <w:pPr>
              <w:pStyle w:val="TableContents"/>
              <w:bidi w:val="0"/>
              <w:spacing w:before="0" w:after="0"/>
              <w:ind w:left="0" w:right="0" w:hanging="0"/>
              <w:jc w:val="left"/>
              <w:rPr/>
            </w:pPr>
            <w:hyperlink r:id="rId25">
              <w:r>
                <w:rPr>
                  <w:rStyle w:val="InternetLink"/>
                  <w:rFonts w:ascii="Times New Roman" w:hAnsi="Times New Roman"/>
                  <w:caps w:val="false"/>
                  <w:smallCaps w:val="false"/>
                  <w:sz w:val="20"/>
                </w:rPr>
                <w:t>Form of Restricted Stock Grant Agreement for restricted stock grants on August 5, 2026 (Incorporated by reference to Exhibit 10.2 of the Company’s Form 8-K dated August 11, 2026). File No. 001-07635.</w:t>
              </w:r>
            </w:hyperlink>
          </w:p>
        </w:tc>
      </w:tr>
      <w:tr>
        <w:trPr/>
        <w:tc>
          <w:tcPr>
            <w:tcW w:w="1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w:t>
            </w:r>
          </w:p>
        </w:tc>
        <w:tc>
          <w:tcPr>
            <w:tcW w:w="10048" w:type="dxa"/>
            <w:tcBorders/>
            <w:vAlign w:val="center"/>
          </w:tcPr>
          <w:p>
            <w:pPr>
              <w:pStyle w:val="TableContents"/>
              <w:bidi w:val="0"/>
              <w:spacing w:before="0" w:after="0"/>
              <w:ind w:left="0" w:right="0" w:hanging="0"/>
              <w:jc w:val="left"/>
              <w:rPr/>
            </w:pPr>
            <w:hyperlink r:id="rId26">
              <w:r>
                <w:rPr>
                  <w:rStyle w:val="InternetLink"/>
                  <w:rFonts w:ascii="Times New Roman" w:hAnsi="Times New Roman"/>
                  <w:caps w:val="false"/>
                  <w:smallCaps w:val="false"/>
                  <w:sz w:val="20"/>
                </w:rPr>
                <w:t>Form of Performance Stock Award Grant Agreement for award of performance shares on August 5, 2026 (Incorporated by reference to Exhibit 10.3 of the Company’s Form 8-K dated August 11, 2026). File No. 001-07635.</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w:t>
            </w:r>
          </w:p>
        </w:tc>
        <w:tc>
          <w:tcPr>
            <w:tcW w:w="9981" w:type="dxa"/>
            <w:tcBorders/>
            <w:vAlign w:val="center"/>
          </w:tcPr>
          <w:p>
            <w:pPr>
              <w:pStyle w:val="TableContents"/>
              <w:bidi w:val="0"/>
              <w:spacing w:before="0" w:after="0"/>
              <w:ind w:left="0" w:right="0" w:hanging="0"/>
              <w:jc w:val="left"/>
              <w:rPr/>
            </w:pPr>
            <w:hyperlink r:id="rId27">
              <w:r>
                <w:rPr>
                  <w:rStyle w:val="InternetLink"/>
                  <w:rFonts w:ascii="Times New Roman" w:hAnsi="Times New Roman"/>
                  <w:caps w:val="false"/>
                  <w:smallCaps w:val="false"/>
                  <w:sz w:val="20"/>
                  <w:u w:val="single"/>
                </w:rPr>
                <w:t>Twin Disc, Incorporated Supplemental Executive Retirement Plan, amended and restated as of July 29, 2010 (Incorporated by reference to Exhibit 10.4 of the Company’s Form 8-K dated August 4, 2010). File No. 001-07635.</w:t>
              </w:r>
            </w:hyperlink>
          </w:p>
        </w:tc>
      </w:tr>
      <w:tr>
        <w:trPr/>
        <w:tc>
          <w:tcPr>
            <w:tcW w:w="2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w:t>
            </w:r>
          </w:p>
        </w:tc>
        <w:tc>
          <w:tcPr>
            <w:tcW w:w="9981" w:type="dxa"/>
            <w:tcBorders/>
            <w:vAlign w:val="center"/>
          </w:tcPr>
          <w:p>
            <w:pPr>
              <w:pStyle w:val="TableContents"/>
              <w:bidi w:val="0"/>
              <w:spacing w:before="0" w:after="0"/>
              <w:ind w:left="0" w:right="0" w:hanging="0"/>
              <w:jc w:val="left"/>
              <w:rPr/>
            </w:pPr>
            <w:hyperlink r:id="rId28">
              <w:r>
                <w:rPr>
                  <w:rStyle w:val="InternetLink"/>
                  <w:rFonts w:ascii="Times New Roman" w:hAnsi="Times New Roman"/>
                  <w:caps w:val="false"/>
                  <w:smallCaps w:val="false"/>
                  <w:sz w:val="20"/>
                  <w:u w:val="single"/>
                </w:rPr>
                <w:t>Form of Change in Control Severance Agreements (Incorporated by reference to Exhibit 10.4 of the Company’s Form 8-K dated August 3, 2022). File No. 001-07635.</w:t>
              </w:r>
            </w:hyperlink>
          </w:p>
        </w:tc>
      </w:tr>
      <w:tr>
        <w:trPr/>
        <w:tc>
          <w:tcPr>
            <w:tcW w:w="2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9981" w:type="dxa"/>
            <w:tcBorders/>
            <w:vAlign w:val="center"/>
          </w:tcPr>
          <w:p>
            <w:pPr>
              <w:pStyle w:val="TableContents"/>
              <w:bidi w:val="0"/>
              <w:spacing w:before="0" w:after="0"/>
              <w:ind w:left="0" w:right="0" w:hanging="0"/>
              <w:jc w:val="left"/>
              <w:rPr/>
            </w:pPr>
            <w:hyperlink r:id="rId29">
              <w:r>
                <w:rPr>
                  <w:rStyle w:val="InternetLink"/>
                  <w:rFonts w:ascii="Times New Roman" w:hAnsi="Times New Roman"/>
                  <w:caps w:val="false"/>
                  <w:smallCaps w:val="false"/>
                  <w:sz w:val="20"/>
                  <w:u w:val="single"/>
                </w:rPr>
                <w:t>Form of Indemnity Agreement (Incorporated by reference to Exhibit 10.5 of the Company’s Form 8-K dated August 2, 2005). File No. 001-07635.</w:t>
              </w:r>
            </w:hyperlink>
          </w:p>
        </w:tc>
      </w:tr>
      <w:tr>
        <w:trPr/>
        <w:tc>
          <w:tcPr>
            <w:tcW w:w="2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w:t>
            </w:r>
          </w:p>
        </w:tc>
        <w:tc>
          <w:tcPr>
            <w:tcW w:w="9981" w:type="dxa"/>
            <w:tcBorders/>
            <w:vAlign w:val="center"/>
          </w:tcPr>
          <w:p>
            <w:pPr>
              <w:pStyle w:val="TableContents"/>
              <w:bidi w:val="0"/>
              <w:spacing w:before="0" w:after="0"/>
              <w:ind w:left="0" w:right="0" w:hanging="0"/>
              <w:jc w:val="left"/>
              <w:rPr/>
            </w:pPr>
            <w:hyperlink r:id="rId30">
              <w:r>
                <w:rPr>
                  <w:rStyle w:val="InternetLink"/>
                  <w:rFonts w:ascii="Times New Roman" w:hAnsi="Times New Roman"/>
                  <w:caps w:val="false"/>
                  <w:smallCaps w:val="false"/>
                  <w:sz w:val="20"/>
                </w:rPr>
                <w:t>Credit Agreement By and Among Twin Disc, Incorporated, Kobelt Manufacturing Co. Ltd., Bank of Montreal, and JPMorgan Chase Bank, N.A., dated June 30, 2026 (Incorporated by reference to Exhibit 1.1 of the Company’s Form 8-K dated July 6, 2026). File No. 001-07635.</w:t>
              </w:r>
            </w:hyperlink>
          </w:p>
        </w:tc>
      </w:tr>
      <w:tr>
        <w:trPr/>
        <w:tc>
          <w:tcPr>
            <w:tcW w:w="2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w:t>
            </w:r>
          </w:p>
        </w:tc>
        <w:tc>
          <w:tcPr>
            <w:tcW w:w="9981" w:type="dxa"/>
            <w:tcBorders/>
            <w:vAlign w:val="center"/>
          </w:tcPr>
          <w:p>
            <w:pPr>
              <w:pStyle w:val="TableContents"/>
              <w:bidi w:val="0"/>
              <w:spacing w:before="0" w:after="0"/>
              <w:ind w:left="0" w:right="0" w:hanging="0"/>
              <w:jc w:val="left"/>
              <w:rPr/>
            </w:pPr>
            <w:hyperlink r:id="rId31">
              <w:r>
                <w:rPr>
                  <w:rStyle w:val="InternetLink"/>
                  <w:rFonts w:ascii="Times New Roman" w:hAnsi="Times New Roman"/>
                  <w:caps w:val="false"/>
                  <w:smallCaps w:val="false"/>
                  <w:sz w:val="20"/>
                </w:rPr>
                <w:t>Sixth Amended and Restated Revolving Note Between Twin Disc, Incorporated, Kobelt Manufacturing Co., Ltd. and Bank of Montreal (Incorporated by reference to Exhibit 1.2 of the Company’s Form 8-K dated July 6, 2026). File No. 001-07635.</w:t>
              </w:r>
            </w:hyperlink>
          </w:p>
        </w:tc>
      </w:tr>
      <w:tr>
        <w:trPr/>
        <w:tc>
          <w:tcPr>
            <w:tcW w:w="2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w:t>
            </w:r>
          </w:p>
        </w:tc>
        <w:tc>
          <w:tcPr>
            <w:tcW w:w="9981" w:type="dxa"/>
            <w:tcBorders/>
            <w:vAlign w:val="center"/>
          </w:tcPr>
          <w:p>
            <w:pPr>
              <w:pStyle w:val="TableContents"/>
              <w:bidi w:val="0"/>
              <w:spacing w:before="0" w:after="0"/>
              <w:ind w:left="0" w:right="0" w:hanging="0"/>
              <w:jc w:val="left"/>
              <w:rPr/>
            </w:pPr>
            <w:hyperlink r:id="rId32">
              <w:r>
                <w:rPr>
                  <w:rStyle w:val="InternetLink"/>
                  <w:rFonts w:ascii="Times New Roman" w:hAnsi="Times New Roman"/>
                  <w:caps w:val="false"/>
                  <w:smallCaps w:val="false"/>
                  <w:sz w:val="20"/>
                </w:rPr>
                <w:t>Revolving Note Between Twin Disc, Incorporated and JPMorgan Chase Bank, N.A. (Incorporated by reference to Exhibit 1.3 of the Company’s Form 8-K dated July 6, 2026). File No. 001-07635.</w:t>
              </w:r>
            </w:hyperlink>
          </w:p>
        </w:tc>
      </w:tr>
      <w:tr>
        <w:trPr/>
        <w:tc>
          <w:tcPr>
            <w:tcW w:w="2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t>
            </w:r>
          </w:p>
        </w:tc>
        <w:tc>
          <w:tcPr>
            <w:tcW w:w="9981" w:type="dxa"/>
            <w:tcBorders/>
            <w:vAlign w:val="center"/>
          </w:tcPr>
          <w:p>
            <w:pPr>
              <w:pStyle w:val="TableContents"/>
              <w:bidi w:val="0"/>
              <w:spacing w:before="0" w:after="0"/>
              <w:ind w:left="0" w:right="0" w:hanging="0"/>
              <w:jc w:val="left"/>
              <w:rPr/>
            </w:pPr>
            <w:hyperlink r:id="rId33">
              <w:r>
                <w:rPr>
                  <w:rStyle w:val="InternetLink"/>
                  <w:rFonts w:ascii="Times New Roman" w:hAnsi="Times New Roman"/>
                  <w:caps w:val="false"/>
                  <w:smallCaps w:val="false"/>
                  <w:sz w:val="20"/>
                </w:rPr>
                <w:t>Third Amended and Restated Term Note Between Twin Disc, Incorporated and Bank of Montreal (Incorporated by reference to Exhibit 1.4 of the Company’s Form 8-K dated July 6, 2026). File No. 001-07635.</w:t>
              </w:r>
            </w:hyperlink>
          </w:p>
        </w:tc>
      </w:tr>
      <w:tr>
        <w:trPr/>
        <w:tc>
          <w:tcPr>
            <w:tcW w:w="2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t>
            </w:r>
          </w:p>
        </w:tc>
        <w:tc>
          <w:tcPr>
            <w:tcW w:w="9981" w:type="dxa"/>
            <w:tcBorders/>
            <w:vAlign w:val="center"/>
          </w:tcPr>
          <w:p>
            <w:pPr>
              <w:pStyle w:val="TableContents"/>
              <w:bidi w:val="0"/>
              <w:spacing w:before="0" w:after="0"/>
              <w:ind w:left="0" w:right="0" w:hanging="0"/>
              <w:jc w:val="left"/>
              <w:rPr/>
            </w:pPr>
            <w:hyperlink r:id="rId34">
              <w:r>
                <w:rPr>
                  <w:rStyle w:val="InternetLink"/>
                  <w:rFonts w:ascii="Times New Roman" w:hAnsi="Times New Roman"/>
                  <w:caps w:val="false"/>
                  <w:smallCaps w:val="false"/>
                  <w:sz w:val="20"/>
                </w:rPr>
                <w:t>Term Note Between Twin Disc, Incorporated and JPMorgan Chase Bank, N.A. (Incorporated by reference to Exhibit 1.5 of the Company’s Form 8-K dated July 6, 2026). File No. 001-07635.</w:t>
              </w:r>
            </w:hyperlink>
          </w:p>
        </w:tc>
      </w:tr>
      <w:tr>
        <w:trPr/>
        <w:tc>
          <w:tcPr>
            <w:tcW w:w="2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w:t>
            </w:r>
          </w:p>
        </w:tc>
        <w:tc>
          <w:tcPr>
            <w:tcW w:w="9981" w:type="dxa"/>
            <w:tcBorders/>
            <w:vAlign w:val="center"/>
          </w:tcPr>
          <w:p>
            <w:pPr>
              <w:pStyle w:val="TableContents"/>
              <w:bidi w:val="0"/>
              <w:spacing w:before="0" w:after="0"/>
              <w:ind w:left="0" w:right="0" w:hanging="0"/>
              <w:jc w:val="left"/>
              <w:rPr/>
            </w:pPr>
            <w:hyperlink r:id="rId35">
              <w:r>
                <w:rPr>
                  <w:rStyle w:val="InternetLink"/>
                  <w:rFonts w:ascii="Times New Roman" w:hAnsi="Times New Roman"/>
                  <w:caps w:val="false"/>
                  <w:smallCaps w:val="false"/>
                  <w:sz w:val="20"/>
                </w:rPr>
                <w:t>Swing Note Between Twin Disc, Incorporated and Bank of Montreal (Incorporated by reference to Exhibit 1.6 of the Company’s Form 8-K dated July 6, 2026). File No. 001-07635.</w:t>
              </w:r>
            </w:hyperlink>
          </w:p>
        </w:tc>
      </w:tr>
      <w:tr>
        <w:trPr/>
        <w:tc>
          <w:tcPr>
            <w:tcW w:w="2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9981" w:type="dxa"/>
            <w:tcBorders/>
            <w:vAlign w:val="center"/>
          </w:tcPr>
          <w:p>
            <w:pPr>
              <w:pStyle w:val="TableContents"/>
              <w:bidi w:val="0"/>
              <w:spacing w:before="0" w:after="0"/>
              <w:ind w:left="0" w:right="0" w:hanging="0"/>
              <w:jc w:val="left"/>
              <w:rPr/>
            </w:pPr>
            <w:hyperlink r:id="rId36">
              <w:r>
                <w:rPr>
                  <w:rStyle w:val="InternetLink"/>
                  <w:rFonts w:ascii="Times New Roman" w:hAnsi="Times New Roman"/>
                  <w:caps w:val="false"/>
                  <w:smallCaps w:val="false"/>
                  <w:sz w:val="20"/>
                </w:rPr>
                <w:t>Amended and Restated Security Agreement Between Twin Disc, Incorporated and Bank of Montreal (Incorporated by reference to Exhibit 1.7 of the Company’s Form 8-K dated July 6, 2026). File No. 001-07635.</w:t>
              </w:r>
            </w:hyperlink>
          </w:p>
        </w:tc>
      </w:tr>
      <w:tr>
        <w:trPr/>
        <w:tc>
          <w:tcPr>
            <w:tcW w:w="2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w:t>
            </w:r>
          </w:p>
        </w:tc>
        <w:tc>
          <w:tcPr>
            <w:tcW w:w="9981" w:type="dxa"/>
            <w:tcBorders/>
            <w:vAlign w:val="center"/>
          </w:tcPr>
          <w:p>
            <w:pPr>
              <w:pStyle w:val="TableContents"/>
              <w:bidi w:val="0"/>
              <w:spacing w:before="0" w:after="0"/>
              <w:ind w:left="0" w:right="0" w:hanging="0"/>
              <w:jc w:val="left"/>
              <w:rPr/>
            </w:pPr>
            <w:hyperlink r:id="rId37">
              <w:r>
                <w:rPr>
                  <w:rStyle w:val="InternetLink"/>
                  <w:rFonts w:ascii="Times New Roman" w:hAnsi="Times New Roman"/>
                  <w:caps w:val="false"/>
                  <w:smallCaps w:val="false"/>
                  <w:sz w:val="20"/>
                </w:rPr>
                <w:t>Amended and Restated IP Security Agreement Between Twin Disc, Incorporated and Bank of Montreal (Incorporated by reference to Exhibit 1.8 of the Company’s Form 8-K dated July 6, 2026). File No. 001-07635.</w:t>
              </w:r>
            </w:hyperlink>
          </w:p>
        </w:tc>
      </w:tr>
      <w:tr>
        <w:trPr/>
        <w:tc>
          <w:tcPr>
            <w:tcW w:w="2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w:t>
            </w:r>
          </w:p>
        </w:tc>
        <w:tc>
          <w:tcPr>
            <w:tcW w:w="9981" w:type="dxa"/>
            <w:tcBorders/>
            <w:vAlign w:val="center"/>
          </w:tcPr>
          <w:p>
            <w:pPr>
              <w:pStyle w:val="TableContents"/>
              <w:bidi w:val="0"/>
              <w:spacing w:before="0" w:after="0"/>
              <w:ind w:left="0" w:right="0" w:hanging="0"/>
              <w:jc w:val="left"/>
              <w:rPr/>
            </w:pPr>
            <w:hyperlink r:id="rId38">
              <w:r>
                <w:rPr>
                  <w:rStyle w:val="InternetLink"/>
                  <w:rFonts w:ascii="Times New Roman" w:hAnsi="Times New Roman"/>
                  <w:caps w:val="false"/>
                  <w:smallCaps w:val="false"/>
                  <w:sz w:val="20"/>
                </w:rPr>
                <w:t>Amended and Restated Pledge Agreement Between Twin Disc, Incorporated and Bank of Montreal (Incorporated by reference to Exhibit 1.9 of the Company’s Form 8-K dated July 6, 2026). File No. 001-07635.</w:t>
              </w:r>
            </w:hyperlink>
          </w:p>
        </w:tc>
      </w:tr>
      <w:tr>
        <w:trPr/>
        <w:tc>
          <w:tcPr>
            <w:tcW w:w="2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w:t>
            </w:r>
          </w:p>
        </w:tc>
        <w:tc>
          <w:tcPr>
            <w:tcW w:w="9981" w:type="dxa"/>
            <w:tcBorders/>
            <w:vAlign w:val="center"/>
          </w:tcPr>
          <w:p>
            <w:pPr>
              <w:pStyle w:val="TableContents"/>
              <w:bidi w:val="0"/>
              <w:spacing w:before="0" w:after="0"/>
              <w:ind w:left="0" w:right="0" w:hanging="0"/>
              <w:jc w:val="left"/>
              <w:rPr/>
            </w:pPr>
            <w:hyperlink r:id="rId39">
              <w:r>
                <w:rPr>
                  <w:rStyle w:val="InternetLink"/>
                  <w:rFonts w:ascii="Times New Roman" w:hAnsi="Times New Roman"/>
                  <w:caps w:val="false"/>
                  <w:smallCaps w:val="false"/>
                  <w:sz w:val="20"/>
                </w:rPr>
                <w:t>Amended and Restated Perfection Certificate Between Twin Disc, Incorporated and Bank of Montreal (Incorporated by reference to Exhibit 1.10 of the Company’s Form 8-K dated July 6, 2026). File No. 001-07635.</w:t>
              </w:r>
            </w:hyperlink>
          </w:p>
        </w:tc>
      </w:tr>
      <w:tr>
        <w:trPr/>
        <w:tc>
          <w:tcPr>
            <w:tcW w:w="2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w:t>
            </w:r>
          </w:p>
        </w:tc>
        <w:tc>
          <w:tcPr>
            <w:tcW w:w="9981" w:type="dxa"/>
            <w:tcBorders/>
            <w:vAlign w:val="center"/>
          </w:tcPr>
          <w:p>
            <w:pPr>
              <w:pStyle w:val="TableContents"/>
              <w:bidi w:val="0"/>
              <w:spacing w:before="0" w:after="0"/>
              <w:ind w:left="0" w:right="0" w:hanging="0"/>
              <w:jc w:val="left"/>
              <w:rPr/>
            </w:pPr>
            <w:hyperlink r:id="rId40">
              <w:r>
                <w:rPr>
                  <w:rStyle w:val="InternetLink"/>
                  <w:rFonts w:ascii="Times New Roman" w:hAnsi="Times New Roman"/>
                  <w:caps w:val="false"/>
                  <w:smallCaps w:val="false"/>
                  <w:sz w:val="20"/>
                </w:rPr>
                <w:t>Amended and Restated Agreement as to Liens and Encumbrances Between Twin Disc, Incorporated and Bank of Montreal (Incorporated by reference to Exhibit 1.11 of the Company’s Form 8-K dated July 6, 2026). File No. 001-07635.</w:t>
              </w:r>
            </w:hyperlink>
          </w:p>
        </w:tc>
      </w:tr>
      <w:tr>
        <w:trPr/>
        <w:tc>
          <w:tcPr>
            <w:tcW w:w="2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aa)</w:t>
            </w:r>
          </w:p>
        </w:tc>
        <w:tc>
          <w:tcPr>
            <w:tcW w:w="9981" w:type="dxa"/>
            <w:tcBorders/>
            <w:vAlign w:val="center"/>
          </w:tcPr>
          <w:p>
            <w:pPr>
              <w:pStyle w:val="TableContents"/>
              <w:bidi w:val="0"/>
              <w:spacing w:before="0" w:after="0"/>
              <w:ind w:left="0" w:right="0" w:hanging="0"/>
              <w:jc w:val="left"/>
              <w:rPr/>
            </w:pPr>
            <w:hyperlink r:id="rId41">
              <w:r>
                <w:rPr>
                  <w:rStyle w:val="InternetLink"/>
                  <w:rFonts w:ascii="Times New Roman" w:hAnsi="Times New Roman"/>
                  <w:caps w:val="false"/>
                  <w:smallCaps w:val="false"/>
                  <w:sz w:val="20"/>
                </w:rPr>
                <w:t>Amended and Restated Negative Pledge Agreement Between Twin Disc, Incorporated and Bank of Montreal (Incorporated by reference to Exhibit 1.12 of the Company’s Form 8-K dated July 6, 2026). File No. 001-07635.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76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tbl>
      <w:tblPr>
        <w:tblW w:w="9645" w:type="dxa"/>
        <w:jc w:val="left"/>
        <w:tblInd w:w="0" w:type="dxa"/>
        <w:tblLayout w:type="fixed"/>
        <w:tblCellMar>
          <w:top w:w="0" w:type="dxa"/>
          <w:left w:w="0" w:type="dxa"/>
          <w:bottom w:w="0" w:type="dxa"/>
          <w:right w:w="0" w:type="dxa"/>
        </w:tblCellMar>
      </w:tblPr>
      <w:tblGrid>
        <w:gridCol w:w="785"/>
        <w:gridCol w:w="8045"/>
        <w:gridCol w:w="815"/>
      </w:tblGrid>
      <w:tr>
        <w:trPr/>
        <w:tc>
          <w:tcPr>
            <w:tcW w:w="7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tc>
        <w:tc>
          <w:tcPr>
            <w:tcW w:w="80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Herewith</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18</w:t>
            </w:r>
          </w:p>
        </w:tc>
        <w:tc>
          <w:tcPr>
            <w:tcW w:w="8045" w:type="dxa"/>
            <w:tcBorders/>
            <w:vAlign w:val="center"/>
          </w:tcPr>
          <w:p>
            <w:pPr>
              <w:pStyle w:val="TableContents"/>
              <w:bidi w:val="0"/>
              <w:spacing w:before="0" w:after="0"/>
              <w:ind w:left="0" w:right="0" w:hanging="0"/>
              <w:jc w:val="left"/>
              <w:rPr/>
            </w:pPr>
            <w:hyperlink w:anchor="ex_1009788.htm">
              <w:r>
                <w:rPr>
                  <w:rStyle w:val="InternetLink"/>
                  <w:rFonts w:ascii="Times New Roman;Times;serif" w:hAnsi="Times New Roman;Times;serif"/>
                  <w:caps w:val="false"/>
                  <w:smallCaps w:val="false"/>
                  <w:sz w:val="20"/>
                </w:rPr>
                <w:t>Preferability Letter from RSM U.S., LLP</w:t>
              </w:r>
            </w:hyperlink>
          </w:p>
        </w:tc>
        <w:tc>
          <w:tcPr>
            <w:tcW w:w="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c>
          <w:tcPr>
            <w:tcW w:w="8045" w:type="dxa"/>
            <w:tcBorders/>
            <w:vAlign w:val="center"/>
          </w:tcPr>
          <w:p>
            <w:pPr>
              <w:pStyle w:val="TableContents"/>
              <w:bidi w:val="0"/>
              <w:spacing w:before="0" w:after="0"/>
              <w:ind w:left="0" w:right="0" w:hanging="0"/>
              <w:jc w:val="left"/>
              <w:rPr/>
            </w:pPr>
            <w:hyperlink w:anchor="ex_1006836.htm">
              <w:r>
                <w:rPr>
                  <w:rStyle w:val="InternetLink"/>
                  <w:rFonts w:ascii="Times New Roman;Times;serif" w:hAnsi="Times New Roman;Times;serif"/>
                  <w:caps w:val="false"/>
                  <w:smallCaps w:val="false"/>
                  <w:sz w:val="20"/>
                </w:rPr>
                <w:t>Insider Trading Policy</w:t>
              </w:r>
            </w:hyperlink>
          </w:p>
        </w:tc>
        <w:tc>
          <w:tcPr>
            <w:tcW w:w="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8045" w:type="dxa"/>
            <w:tcBorders/>
            <w:vAlign w:val="center"/>
          </w:tcPr>
          <w:p>
            <w:pPr>
              <w:pStyle w:val="TableContents"/>
              <w:bidi w:val="0"/>
              <w:spacing w:before="0" w:after="0"/>
              <w:ind w:left="0" w:right="0" w:hanging="0"/>
              <w:jc w:val="left"/>
              <w:rPr/>
            </w:pPr>
            <w:hyperlink w:anchor="ex_1006764.htm">
              <w:r>
                <w:rPr>
                  <w:rStyle w:val="InternetLink"/>
                  <w:rFonts w:ascii="Times New Roman;Times;serif" w:hAnsi="Times New Roman;Times;serif"/>
                  <w:caps w:val="false"/>
                  <w:smallCaps w:val="false"/>
                  <w:sz w:val="20"/>
                </w:rPr>
                <w:t>Subsidiaries of the Registrant</w:t>
              </w:r>
            </w:hyperlink>
          </w:p>
        </w:tc>
        <w:tc>
          <w:tcPr>
            <w:tcW w:w="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23a</w:t>
            </w:r>
          </w:p>
        </w:tc>
        <w:tc>
          <w:tcPr>
            <w:tcW w:w="8045" w:type="dxa"/>
            <w:tcBorders/>
            <w:vAlign w:val="center"/>
          </w:tcPr>
          <w:p>
            <w:pPr>
              <w:pStyle w:val="TableContents"/>
              <w:bidi w:val="0"/>
              <w:spacing w:before="0" w:after="0"/>
              <w:ind w:left="0" w:right="0" w:hanging="0"/>
              <w:jc w:val="left"/>
              <w:rPr/>
            </w:pPr>
            <w:hyperlink w:anchor="ex_1006763.htm">
              <w:r>
                <w:rPr>
                  <w:rStyle w:val="InternetLink"/>
                  <w:rFonts w:ascii="Times New Roman;Times;serif" w:hAnsi="Times New Roman;Times;serif"/>
                  <w:caps w:val="false"/>
                  <w:smallCaps w:val="false"/>
                  <w:sz w:val="20"/>
                </w:rPr>
                <w:t>Consent of Independent Registered Public Accounting Firm</w:t>
              </w:r>
            </w:hyperlink>
          </w:p>
        </w:tc>
        <w:tc>
          <w:tcPr>
            <w:tcW w:w="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c>
          <w:tcPr>
            <w:tcW w:w="8045" w:type="dxa"/>
            <w:tcBorders/>
            <w:vAlign w:val="center"/>
          </w:tcPr>
          <w:p>
            <w:pPr>
              <w:pStyle w:val="TableContents"/>
              <w:bidi w:val="0"/>
              <w:spacing w:before="0" w:after="0"/>
              <w:ind w:left="0" w:right="0" w:hanging="0"/>
              <w:jc w:val="left"/>
              <w:rPr/>
            </w:pPr>
            <w:hyperlink w:anchor="ex_1006762.htm">
              <w:r>
                <w:rPr>
                  <w:rStyle w:val="InternetLink"/>
                  <w:rFonts w:ascii="Times New Roman;Times;serif" w:hAnsi="Times New Roman;Times;serif"/>
                  <w:caps w:val="false"/>
                  <w:smallCaps w:val="false"/>
                  <w:sz w:val="20"/>
                </w:rPr>
                <w:t>Power of Attorney</w:t>
              </w:r>
            </w:hyperlink>
          </w:p>
        </w:tc>
        <w:tc>
          <w:tcPr>
            <w:tcW w:w="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31a</w:t>
            </w:r>
          </w:p>
        </w:tc>
        <w:tc>
          <w:tcPr>
            <w:tcW w:w="8045" w:type="dxa"/>
            <w:tcBorders/>
            <w:vAlign w:val="center"/>
          </w:tcPr>
          <w:p>
            <w:pPr>
              <w:pStyle w:val="TableContents"/>
              <w:bidi w:val="0"/>
              <w:spacing w:before="0" w:after="0"/>
              <w:ind w:left="0" w:right="0" w:hanging="0"/>
              <w:jc w:val="left"/>
              <w:rPr/>
            </w:pPr>
            <w:hyperlink w:anchor="ex_1006761.htm">
              <w:r>
                <w:rPr>
                  <w:rStyle w:val="InternetLink"/>
                  <w:rFonts w:ascii="Times New Roman;Times;serif" w:hAnsi="Times New Roman;Times;serif"/>
                  <w:caps w:val="false"/>
                  <w:smallCaps w:val="false"/>
                  <w:sz w:val="20"/>
                </w:rPr>
                <w:t>Certification</w:t>
              </w:r>
            </w:hyperlink>
          </w:p>
        </w:tc>
        <w:tc>
          <w:tcPr>
            <w:tcW w:w="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31b</w:t>
            </w:r>
          </w:p>
        </w:tc>
        <w:tc>
          <w:tcPr>
            <w:tcW w:w="8045" w:type="dxa"/>
            <w:tcBorders/>
            <w:vAlign w:val="center"/>
          </w:tcPr>
          <w:p>
            <w:pPr>
              <w:pStyle w:val="TableContents"/>
              <w:bidi w:val="0"/>
              <w:spacing w:before="0" w:after="0"/>
              <w:ind w:left="0" w:right="0" w:hanging="0"/>
              <w:jc w:val="left"/>
              <w:rPr/>
            </w:pPr>
            <w:hyperlink w:anchor="ex_1006760.htm">
              <w:r>
                <w:rPr>
                  <w:rStyle w:val="InternetLink"/>
                  <w:rFonts w:ascii="Times New Roman;Times;serif" w:hAnsi="Times New Roman;Times;serif"/>
                  <w:caps w:val="false"/>
                  <w:smallCaps w:val="false"/>
                  <w:sz w:val="20"/>
                </w:rPr>
                <w:t>Certification</w:t>
              </w:r>
            </w:hyperlink>
          </w:p>
        </w:tc>
        <w:tc>
          <w:tcPr>
            <w:tcW w:w="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32a</w:t>
            </w:r>
          </w:p>
        </w:tc>
        <w:tc>
          <w:tcPr>
            <w:tcW w:w="8045" w:type="dxa"/>
            <w:tcBorders/>
            <w:vAlign w:val="center"/>
          </w:tcPr>
          <w:p>
            <w:pPr>
              <w:pStyle w:val="TableContents"/>
              <w:bidi w:val="0"/>
              <w:spacing w:before="0" w:after="0"/>
              <w:ind w:left="0" w:right="0" w:hanging="0"/>
              <w:jc w:val="left"/>
              <w:rPr/>
            </w:pPr>
            <w:hyperlink w:anchor="ex_1006759.htm">
              <w:r>
                <w:rPr>
                  <w:rStyle w:val="InternetLink"/>
                  <w:rFonts w:ascii="Times New Roman;Times;serif" w:hAnsi="Times New Roman;Times;serif"/>
                  <w:caps w:val="false"/>
                  <w:smallCaps w:val="false"/>
                  <w:sz w:val="20"/>
                </w:rPr>
                <w:t>Certification pursuant to 18 U.S.C. Section 1350</w:t>
              </w:r>
            </w:hyperlink>
          </w:p>
        </w:tc>
        <w:tc>
          <w:tcPr>
            <w:tcW w:w="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32b</w:t>
            </w:r>
          </w:p>
        </w:tc>
        <w:tc>
          <w:tcPr>
            <w:tcW w:w="8045" w:type="dxa"/>
            <w:tcBorders/>
            <w:vAlign w:val="center"/>
          </w:tcPr>
          <w:p>
            <w:pPr>
              <w:pStyle w:val="TableContents"/>
              <w:bidi w:val="0"/>
              <w:spacing w:before="0" w:after="0"/>
              <w:ind w:left="0" w:right="0" w:hanging="0"/>
              <w:jc w:val="left"/>
              <w:rPr/>
            </w:pPr>
            <w:hyperlink w:anchor="ex_1006758.htm">
              <w:r>
                <w:rPr>
                  <w:rStyle w:val="InternetLink"/>
                  <w:rFonts w:ascii="Times New Roman;Times;serif" w:hAnsi="Times New Roman;Times;serif"/>
                  <w:caps w:val="false"/>
                  <w:smallCaps w:val="false"/>
                  <w:sz w:val="20"/>
                </w:rPr>
                <w:t>Certification pursuant to 18 U.S.C. Section 1350</w:t>
              </w:r>
            </w:hyperlink>
          </w:p>
        </w:tc>
        <w:tc>
          <w:tcPr>
            <w:tcW w:w="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97</w:t>
            </w:r>
          </w:p>
        </w:tc>
        <w:tc>
          <w:tcPr>
            <w:tcW w:w="8045" w:type="dxa"/>
            <w:tcBorders/>
            <w:vAlign w:val="center"/>
          </w:tcPr>
          <w:p>
            <w:pPr>
              <w:pStyle w:val="TableContents"/>
              <w:bidi w:val="0"/>
              <w:spacing w:before="0" w:after="0"/>
              <w:ind w:left="0" w:right="0" w:hanging="0"/>
              <w:jc w:val="left"/>
              <w:rPr/>
            </w:pPr>
            <w:hyperlink w:anchor="ex_1006837.htm">
              <w:r>
                <w:rPr>
                  <w:rStyle w:val="InternetLink"/>
                  <w:rFonts w:ascii="Times New Roman;Times;serif" w:hAnsi="Times New Roman;Times;serif"/>
                  <w:caps w:val="false"/>
                  <w:smallCaps w:val="false"/>
                  <w:sz w:val="20"/>
                </w:rPr>
                <w:t>Policy Relating to Recovery of Erroneously Awarded Compensation</w:t>
              </w:r>
            </w:hyperlink>
          </w:p>
        </w:tc>
        <w:tc>
          <w:tcPr>
            <w:tcW w:w="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85"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80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Instance Document, filed herewith</w:t>
            </w:r>
          </w:p>
        </w:tc>
        <w:tc>
          <w:tcPr>
            <w:tcW w:w="81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80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Schema Document, filed herewith</w:t>
            </w:r>
          </w:p>
        </w:tc>
        <w:tc>
          <w:tcPr>
            <w:tcW w:w="81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80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Calculation Linkbase Document, filed herewith</w:t>
            </w:r>
          </w:p>
        </w:tc>
        <w:tc>
          <w:tcPr>
            <w:tcW w:w="81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80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Definition Linkbase Document, filed herewith</w:t>
            </w:r>
          </w:p>
        </w:tc>
        <w:tc>
          <w:tcPr>
            <w:tcW w:w="81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80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Label Linkbase Document, filed herewith</w:t>
            </w:r>
          </w:p>
        </w:tc>
        <w:tc>
          <w:tcPr>
            <w:tcW w:w="81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101.PRE</w:t>
            </w:r>
          </w:p>
        </w:tc>
        <w:tc>
          <w:tcPr>
            <w:tcW w:w="80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Presentation Linkbase, filed herewith</w:t>
            </w:r>
          </w:p>
        </w:tc>
        <w:tc>
          <w:tcPr>
            <w:tcW w:w="81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80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(embedded within the Inline XBRL and contained in Exhibit 101)</w:t>
            </w:r>
          </w:p>
        </w:tc>
        <w:tc>
          <w:tcPr>
            <w:tcW w:w="81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1535"/>
        <w:gridCol w:w="3080"/>
      </w:tblGrid>
      <w:tr>
        <w:trPr/>
        <w:tc>
          <w:tcPr>
            <w:tcW w:w="153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September 4, 2026</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r>
      <w:tr>
        <w:trPr/>
        <w:tc>
          <w:tcPr>
            <w:tcW w:w="153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By: /s/ JOHN H. BATTEN</w:t>
            </w:r>
          </w:p>
        </w:tc>
      </w:tr>
      <w:tr>
        <w:trPr/>
        <w:tc>
          <w:tcPr>
            <w:tcW w:w="153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H. Batten</w:t>
            </w:r>
          </w:p>
        </w:tc>
      </w:tr>
      <w:tr>
        <w:trPr/>
        <w:tc>
          <w:tcPr>
            <w:tcW w:w="153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1535"/>
        <w:gridCol w:w="3980"/>
      </w:tblGrid>
      <w:tr>
        <w:trPr/>
        <w:tc>
          <w:tcPr>
            <w:tcW w:w="153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September 4, 2026</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By: /s/ MICHAEL C. SMILEY</w:t>
            </w:r>
          </w:p>
        </w:tc>
      </w:tr>
      <w:tr>
        <w:trPr/>
        <w:tc>
          <w:tcPr>
            <w:tcW w:w="153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C. Smiley</w:t>
            </w:r>
          </w:p>
        </w:tc>
      </w:tr>
      <w:tr>
        <w:trPr/>
        <w:tc>
          <w:tcPr>
            <w:tcW w:w="153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w:t>
            </w:r>
          </w:p>
        </w:tc>
      </w:tr>
      <w:tr>
        <w:trPr/>
        <w:tc>
          <w:tcPr>
            <w:tcW w:w="153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September 4, 2026</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By: /s/ JOHN H. BATTEN</w:t>
            </w:r>
          </w:p>
        </w:tc>
      </w:tr>
      <w:tr>
        <w:trPr/>
        <w:tc>
          <w:tcPr>
            <w:tcW w:w="153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H. Batten</w:t>
            </w:r>
          </w:p>
        </w:tc>
      </w:tr>
      <w:tr>
        <w:trPr/>
        <w:tc>
          <w:tcPr>
            <w:tcW w:w="153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rPr/>
        <w:tc>
          <w:tcPr>
            <w:tcW w:w="153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September 4, 2026</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By: /s/ JEFFREY S. KNUTSON</w:t>
            </w:r>
          </w:p>
        </w:tc>
      </w:tr>
      <w:tr>
        <w:trPr/>
        <w:tc>
          <w:tcPr>
            <w:tcW w:w="153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S. Knutson</w:t>
            </w:r>
          </w:p>
        </w:tc>
      </w:tr>
      <w:tr>
        <w:trPr/>
        <w:tc>
          <w:tcPr>
            <w:tcW w:w="153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Vice President - Finance, 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Treasurer, and Secretary</w:t>
            </w:r>
          </w:p>
        </w:tc>
      </w:tr>
      <w:tr>
        <w:trPr/>
        <w:tc>
          <w:tcPr>
            <w:tcW w:w="153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September 4, 2026</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Doar, Director</w:t>
            </w:r>
          </w:p>
        </w:tc>
      </w:tr>
      <w:tr>
        <w:trPr/>
        <w:tc>
          <w:tcPr>
            <w:tcW w:w="153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Janet P. Giesselman, Director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David W. Johnson, Director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Juliann Larimer, Director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Kevin M. Olsen, Director</w:t>
            </w:r>
          </w:p>
        </w:tc>
      </w:tr>
      <w:tr>
        <w:trPr/>
        <w:tc>
          <w:tcPr>
            <w:tcW w:w="153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By: /s/ JEFFREY S. KNUTSON</w:t>
            </w:r>
          </w:p>
        </w:tc>
      </w:tr>
      <w:tr>
        <w:trPr/>
        <w:tc>
          <w:tcPr>
            <w:tcW w:w="153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S. Knutson</w:t>
            </w:r>
          </w:p>
        </w:tc>
      </w:tr>
      <w:tr>
        <w:trPr/>
        <w:tc>
          <w:tcPr>
            <w:tcW w:w="153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Vice President - Finance, 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Treasurer, and Secretary (Attorney in Fact)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78 </w:t>
      </w:r>
    </w:p>
    <w:p>
      <w:pPr>
        <w:pStyle w:val="TextBody"/>
        <w:bidi w:val="0"/>
        <w:spacing w:before="0" w:after="0"/>
        <w:ind w:left="0" w:right="0" w:hanging="0"/>
        <w:jc w:val="right"/>
        <w:rPr>
          <w:rFonts w:ascii="Times New Roman;Times;serif" w:hAnsi="Times New Roman;Times;serif"/>
          <w:sz w:val="20"/>
        </w:rPr>
      </w:pPr>
      <w:bookmarkStart w:id="2" w:name="ex_1009788.htm"/>
      <w:bookmarkStart w:id="3" w:name="ksex_1009788"/>
      <w:bookmarkEnd w:id="2"/>
      <w:bookmarkEnd w:id="3"/>
      <w:r>
        <w:rPr>
          <w:rFonts w:ascii="Times New Roman;Times;serif" w:hAnsi="Times New Roman;Times;serif"/>
          <w:b/>
          <w:sz w:val="20"/>
        </w:rPr>
        <w:t>Exhibit 18</w:t>
      </w:r>
      <w:r>
        <w:rPr>
          <w:rFonts w:ascii="Times New Roman;Times;serif" w:hAnsi="Times New Roman;Times;serif"/>
          <w:sz w:val="20"/>
        </w:rPr>
        <w:t>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Preferability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222 E. Erie Street Milwaukee, WI 53202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Dear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letter is provided for inclusion as an exhibit to Twin Disc, Incorporated and Subsidiaries (the “Company”) Annual Report on Form 10-K for the periods ended June 30, 2026 and 2025 (the “Form 10-K”) in accordance with Item 601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reviewed a copy of the Company’s Form 10-K and the statements contained in Note A to the consolidated ﬁnancial statements. As stated in Note A to those ﬁnancial statements, the Company changed its method of accounting for inventory costing of its U.S. operations from the last-in, ﬁrst-out (LIFO) method to the ﬁrst-in, ﬁrst-out (FIFO) method. Management believes this newly adopted accounting principle is preferable in the circumstances because it provides a better matching of costs and revenues, more closely resembles the physical ﬂow of inventory, better reﬂects the acquisition cost of inventory on the balance sheet, and results in improved comparability with industry peers. In accordance with your request, we have reviewed and discussed with Company oficials the circumstances and business judgment and planning upon which the decision to make this change in the method of accounting was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Regarding the accounting change, it is important to note that authoritative criteria have not been established for evaluating the preferability of one acceptable method of accounting over another acceptable method. Accordingly, in expressing our concurrence below, we have relied on management’s business planning and judgment and on management’s determination that this change in accounting principle is preferable.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our review of management’s reasons and justiﬁcation for this accounting change as disclosed in the Form 10-K, and our discussions with management, we concur that this change, in the Company’s circumstances, represents a change to a preferable accounting principle in conformity with Accounting Standards Codiﬁcation 250, Accounting Changes and Error Corrections.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RSM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Milwaukee,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September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4" w:name="ex_1006836.htm"/>
      <w:bookmarkStart w:id="5" w:name="ksex_1006836"/>
      <w:bookmarkEnd w:id="4"/>
      <w:bookmarkEnd w:id="5"/>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TWIN DISC,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INSIDER TRADING POLICY</w:t>
      </w:r>
    </w:p>
    <w:p>
      <w:pPr>
        <w:pStyle w:val="TextBody"/>
        <w:bidi w:val="0"/>
        <w:spacing w:before="0" w:after="0"/>
        <w:ind w:left="0" w:right="0" w:hanging="0"/>
        <w:jc w:val="left"/>
        <w:rPr>
          <w:caps w:val="false"/>
          <w:smallCaps w:val="false"/>
        </w:rPr>
      </w:pPr>
      <w:r>
        <w:rPr>
          <w:caps w:val="false"/>
          <w:smallCaps w:val="false"/>
        </w:rPr>
        <w:t> </w:t>
      </w:r>
    </w:p>
    <w:tbl>
      <w:tblPr>
        <w:tblW w:w="880" w:type="dxa"/>
        <w:jc w:val="left"/>
        <w:tblInd w:w="0" w:type="dxa"/>
        <w:tblLayout w:type="fixed"/>
        <w:tblCellMar>
          <w:top w:w="0" w:type="dxa"/>
          <w:left w:w="0" w:type="dxa"/>
          <w:bottom w:w="0" w:type="dxa"/>
          <w:right w:w="0" w:type="dxa"/>
        </w:tblCellMar>
      </w:tblPr>
      <w:tblGrid>
        <w:gridCol w:w="170"/>
        <w:gridCol w:w="71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71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Purpose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Twin Disc, Incorporated has established this insider trading policy to regulate transactions in securities of the Company by employees, officers and directors of the Company, and related individuals. The purpose of this policy is to prevent any improper trading activity by parties involved with or familiar with the operations of the Company. For purposes of this policy, “Company” includes Twin Disc, Incorporated, and its subsidiaries.</w:t>
      </w:r>
    </w:p>
    <w:p>
      <w:pPr>
        <w:pStyle w:val="TextBody"/>
        <w:bidi w:val="0"/>
        <w:spacing w:before="0" w:after="0"/>
        <w:ind w:left="0" w:right="0" w:hanging="0"/>
        <w:jc w:val="both"/>
        <w:rPr>
          <w:caps w:val="false"/>
          <w:smallCaps w:val="false"/>
        </w:rPr>
      </w:pPr>
      <w:r>
        <w:rPr>
          <w:caps w:val="false"/>
          <w:smallCaps w:val="false"/>
        </w:rPr>
        <w:t> </w:t>
      </w:r>
    </w:p>
    <w:tbl>
      <w:tblPr>
        <w:tblW w:w="730" w:type="dxa"/>
        <w:jc w:val="left"/>
        <w:tblInd w:w="0" w:type="dxa"/>
        <w:tblLayout w:type="fixed"/>
        <w:tblCellMar>
          <w:top w:w="0" w:type="dxa"/>
          <w:left w:w="0" w:type="dxa"/>
          <w:bottom w:w="0" w:type="dxa"/>
          <w:right w:w="0" w:type="dxa"/>
        </w:tblCellMar>
      </w:tblPr>
      <w:tblGrid>
        <w:gridCol w:w="170"/>
        <w:gridCol w:w="56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56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Policy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Federal securities laws prohibit individuals from engaging in certain transactions involving the securities of a company while in possession of material nonpublic information regarding the company. Federal securities laws also prohibit individuals from “tipping” material nonpublic information concerning a company to any third party (called a “tippee”), where the tippee (or a subsequent tippee) then engages in transactions involving the company’s securities. In addition, the Company is required under Regulation FD of federal securities laws to avoid the selective disclosure of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Directors and executive officers of the Company (“Section 16 Individuals”) must also comply with the reporting obligations and limitations on short-swing transactions set forth in Section 16 of the Securities Exchange Act of 1934. Section 16 Individuals are also required to file a Form 144 with the Securities and Exchange Commission before making an open market sale of Company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Such a margin sale or foreclosure may occur at a time when the pledger is aware of material nonpublic information or otherwise is not permitted to trade in Company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Hedging transactions may permit a person to continue to own Company securities obtained through employee benefit plans or otherwise, but without the full risks and rewards of ownership. When that occurs, the person may no longer have the same objectives as the Company’s other shareholders. Principles of sound corporate governance dictate that the Company prohibit all directors, officers and employees from engaging in such hedging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ensure compliance with these laws and principles, the Company has adopted the following policy statements: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shall appoint a compliance officer (“Compliance Officer”) to carry out various acts and duties as set forth herein and as more particularly described in Section 7 below.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Employees, officers and directors of the Company, whether inside or outside the United States (“Covered Persons”), may not trade in the securities of the Company while in possession of material nonpublic information about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Covered Persons may not disclose material nonpublic information to any person outside the Company, including family members, stock analysts and journalists, for any reason whatsoever. This prohibition on disseminating information shall also apply to electronic transmissions, including the use of social media or internet-based forums, by Covered Persons.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Covered Persons may not recommend to anyone that they buy or sell a Company security while in possession of material nonpublic information, even if the Covered Person does not disclose the specific information.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Covered Persons will be responsible for ensuring compliance with this policy by immediate family members of other members of their households.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Covered Persons may not trade in options, warrants, puts and calls or other similar instruments on Company securities or engage in short sales of Company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Covered Persons are prohibited from engaging in any hedging or monetization transactions, including through the use of financial instruments such as prepaid variable forwards, equity swaps, collars and exchange-traded funds. If any Covered Person has entered into a hedging or monetization transaction as of July 31, 2015 (the effective date of the change to this insider trading policy prohibiting hedging or monetization transactions), the Covered Person shall terminate such hedging or monetization transaction completely over the 12 month period beginning on the effective date. An impacted Covered Person shall seek pre-clearance from the Compliance Officer prior to terminating any hedging or monetization transaction.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16 Individuals are prohibited from holding Company securities in a margin account or pledging Company securities as collateral for a loan.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addition to being subject to all of the other limitations of this policy, all Section 16 Individuals and certain other individuals designated by the Compliance Officer from time to time (collectively, “Designated Covered Persons”) must comply with the trading window and pre-clearance policies described below. The Compliance Officer may designate certain non-Section 16 Individuals as Designated Covered Persons for a period of time, based on such individuals’ position within the Company or specific knowledge of material nonpublic information. Upon being informed of his or her inclusion as a Designated Covered Person, such person must comply with the trading window and pre-clearance policies described below until he or she is informed by the Compliance Officer that he or she is no longer a Designated Covered Person. In addition, upon being informed that he or she is a Designated Covered Person and until being informed that he or she is no longer a Designated Covered Person, such person shall be prohibited from placing Company securities in a margin account and pledging Company securities as collateral for a loan.</w:t>
            </w:r>
          </w:p>
        </w:tc>
      </w:tr>
    </w:tbl>
    <w:p>
      <w:pPr>
        <w:pStyle w:val="TextBody"/>
        <w:bidi w:val="0"/>
        <w:spacing w:before="0" w:after="0"/>
        <w:ind w:left="0" w:right="0" w:hanging="0"/>
        <w:jc w:val="both"/>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70"/>
        <w:gridCol w:w="404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40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Definition of </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Material Nonpublic Information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60"/>
        <w:gridCol w:w="155"/>
        <w:gridCol w:w="93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Materiality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5" w:type="dxa"/>
            <w:tcBorders/>
            <w:vAlign w:val="center"/>
          </w:tcPr>
          <w:p>
            <w:pPr>
              <w:pStyle w:val="TableContents"/>
              <w:bidi w:val="0"/>
              <w:spacing w:before="0" w:after="0"/>
              <w:ind w:left="0" w:right="0" w:hanging="0"/>
              <w:jc w:val="both"/>
              <w:rPr/>
            </w:pPr>
            <w:r>
              <w:rPr/>
              <w:t>“</w:t>
            </w:r>
            <w:r>
              <w:rPr>
                <w:rFonts w:ascii="Times New Roman;Times;serif" w:hAnsi="Times New Roman;Times;serif"/>
                <w:sz w:val="20"/>
              </w:rPr>
              <w:t>Material” information is information that a reasonable investor would likely consider important in deciding to buy, sell or hold Company stock. If information could reasonably be expected to affect the share price of a company, whether positively or negatively, it will be considered material. Some examples of information that could be considered material include:</w:t>
            </w:r>
          </w:p>
        </w:tc>
      </w:tr>
    </w:tbl>
    <w:p>
      <w:pPr>
        <w:pStyle w:val="TextBody"/>
        <w:bidi w:val="0"/>
        <w:spacing w:before="0" w:after="0"/>
        <w:ind w:left="0" w:right="0" w:hanging="0"/>
        <w:jc w:val="both"/>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60"/>
        <w:gridCol w:w="110"/>
        <w:gridCol w:w="84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4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financial performance, particularly those reflected in quarterly and year-end earnings reports.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Mergers with unaffiliated entities, sales of significant assets of the Company, or significant acquisitions of the assets or stock of unaffiliated entities.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 changes in the capital structure of the Company, including stock splits or buy-backs, changes in dividend policies, or new debt or security offerings.</w:t>
            </w:r>
          </w:p>
        </w:tc>
      </w:tr>
    </w:tbl>
    <w:p>
      <w:pPr>
        <w:pStyle w:val="TextBody"/>
        <w:bidi w:val="0"/>
        <w:spacing w:before="0" w:after="0"/>
        <w:ind w:left="0" w:right="0" w:hanging="0"/>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0"/>
        <w:gridCol w:w="110"/>
        <w:gridCol w:w="26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6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senior management.</w:t>
            </w:r>
          </w:p>
        </w:tc>
      </w:tr>
    </w:tbl>
    <w:p>
      <w:pPr>
        <w:pStyle w:val="TextBody"/>
        <w:bidi w:val="0"/>
        <w:spacing w:before="0" w:after="0"/>
        <w:ind w:left="0" w:right="0" w:hanging="0"/>
        <w:jc w:val="both"/>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60"/>
        <w:gridCol w:w="110"/>
        <w:gridCol w:w="80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0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 changes in business projections, such as the gain or loss of a major customer or supplier.</w:t>
            </w:r>
          </w:p>
        </w:tc>
      </w:tr>
    </w:tbl>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60"/>
        <w:gridCol w:w="110"/>
        <w:gridCol w:w="51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1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initiation of a significant lawsuit, as plaintiff or defendant.</w:t>
            </w:r>
          </w:p>
        </w:tc>
      </w:tr>
    </w:tbl>
    <w:p>
      <w:pPr>
        <w:pStyle w:val="TextBody"/>
        <w:bidi w:val="0"/>
        <w:spacing w:before="0" w:after="0"/>
        <w:ind w:left="0" w:right="0" w:hanging="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60"/>
        <w:gridCol w:w="110"/>
        <w:gridCol w:w="56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6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Liquidity issues, including impending bankruptcy or reorganization.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list is not designed to be comprehensive, and you should consult the Company’s Compliance Officer if you are unsure about the materiality of certain information.</w:t>
            </w:r>
          </w:p>
        </w:tc>
      </w:tr>
    </w:tbl>
    <w:p>
      <w:pPr>
        <w:pStyle w:val="TextBody"/>
        <w:bidi w:val="0"/>
        <w:spacing w:before="0" w:after="0"/>
        <w:ind w:left="0" w:right="0" w:hanging="0"/>
        <w:jc w:val="both"/>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60"/>
        <w:gridCol w:w="170"/>
        <w:gridCol w:w="8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8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Nonpublic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Information is nonpublic when it has not been widely disseminated to the public through a press release, securities filing or other method designed to make the information known to the general public. For purposes of this insider trading policy, information will be considered public on the third trading day following the date of the Company’s public disclosure of the information. For example, if material information is disclosed by the Company in a press release issued at noon on a Friday, you may not engage in any transactions involving the Company’s securities until at least the following Wednesday morning.</w:t>
            </w:r>
          </w:p>
        </w:tc>
      </w:tr>
    </w:tbl>
    <w:p>
      <w:pPr>
        <w:pStyle w:val="TextBody"/>
        <w:bidi w:val="0"/>
        <w:spacing w:before="0" w:after="0"/>
        <w:ind w:left="0" w:right="0" w:hanging="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60"/>
        <w:gridCol w:w="170"/>
        <w:gridCol w:w="419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4.</w:t>
            </w:r>
          </w:p>
        </w:tc>
        <w:tc>
          <w:tcPr>
            <w:tcW w:w="419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Trading Windows and Pre-Clearance Procedures</w:t>
            </w:r>
          </w:p>
        </w:tc>
      </w:tr>
    </w:tbl>
    <w:p>
      <w:pPr>
        <w:pStyle w:val="TextBody"/>
        <w:bidi w:val="0"/>
        <w:spacing w:before="0" w:after="0"/>
        <w:ind w:left="0" w:right="0" w:hanging="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
        <w:gridCol w:w="155"/>
        <w:gridCol w:w="147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4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Trading Windows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Designated Covered Persons may only trade in Company securities during trading windows, as defined in the following paragraph. However, even during a trading window, Designated Covered Persons who are in possession of material nonpublic information are precluded from trading, and Designated Covered Persons who are not in possession of material nonpublic information must still receive pre-clearance for any trades.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5"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Trading windows open at the opening of the third trading day following the Company’s public disclosure of financial results for the just-completed fiscal period, and end as of the close of trading on the 10th day of the third month of the current fiscal quarter. If the 10th day of the third month of the current fiscal quarter is not a trading day for the Company’s securities, the trading window will end as of the close of trading on the trading day immediately preceding the 10th day of the third month of the current fiscal quarter.</w:t>
            </w:r>
          </w:p>
        </w:tc>
      </w:tr>
    </w:tbl>
    <w:p>
      <w:pPr>
        <w:pStyle w:val="TextBody"/>
        <w:bidi w:val="0"/>
        <w:spacing w:before="0" w:after="0"/>
        <w:ind w:left="0" w:right="0" w:hanging="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60"/>
        <w:gridCol w:w="170"/>
        <w:gridCol w:w="20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20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Pre-Clearance Procedures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Designated Covered Persons may not engage in transactions involving the Company’s securities, even during a trading window, without first receiving pre-clearance for those transactions from the Compliance Officer. In addition, the Company may also deem it necessary to require certain other individuals who are not otherwise Designated Covered Persons, but who may have access to material nonpublic information, to receive pre-clearance for trades.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receive pre-clearance, a Designated Covered Person (or, if required, other individual identified by the Company) must contact the Compliance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and describe in detail the desired transaction. Because pre-clearance may require consultation with legal counsel and other advisors inside or outside the Company, you should not anticipate receiving a pre-clearance opinion within any specified period of time. In addition, if the pre-clearance procedures are followed and authorization for a requested trade is denied, such denial should be deemed material nonpublic information and subject to the obligations set forth for such information in this policy.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Pre-clearance of a transaction involving Company securities is valid only for a 48-hour period. Even if a transaction receives clearance, you may not engage in the transaction if you become aware of material nonpublic information concerning the Company prior to completing the transaction.</w:t>
            </w:r>
          </w:p>
        </w:tc>
      </w:tr>
    </w:tbl>
    <w:p>
      <w:pPr>
        <w:pStyle w:val="TextBody"/>
        <w:bidi w:val="0"/>
        <w:spacing w:before="0" w:after="0"/>
        <w:ind w:left="0" w:right="0" w:hanging="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170"/>
        <w:gridCol w:w="174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5.</w:t>
            </w:r>
          </w:p>
        </w:tc>
        <w:tc>
          <w:tcPr>
            <w:tcW w:w="174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Exceptions to Policy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insider trading policy does not apply to otherwise covered transactions in a limited number of circumstances: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The exercise of stock options, </w:t>
            </w:r>
            <w:r>
              <w:rPr>
                <w:rFonts w:ascii="Times New Roman;Times;serif" w:hAnsi="Times New Roman;Times;serif"/>
                <w:b/>
                <w:i/>
                <w:caps w:val="false"/>
                <w:smallCaps w:val="false"/>
                <w:sz w:val="20"/>
              </w:rPr>
              <w:t xml:space="preserve">except that this policy </w:t>
            </w:r>
            <w:r>
              <w:rPr>
                <w:rFonts w:ascii="Times New Roman;Times;serif" w:hAnsi="Times New Roman;Times;serif"/>
                <w:b/>
                <w:i/>
                <w:caps w:val="false"/>
                <w:smallCaps w:val="false"/>
                <w:sz w:val="20"/>
                <w:u w:val="single"/>
              </w:rPr>
              <w:t>does</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apply to both the cashless exercise of such options, and the subsequent sale of shares acquired through the exercise of any options.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The purchase of stock pursuant to any employee stock purchase plan, </w:t>
            </w:r>
            <w:r>
              <w:rPr>
                <w:rFonts w:ascii="Times New Roman;Times;serif" w:hAnsi="Times New Roman;Times;serif"/>
                <w:b/>
                <w:i/>
                <w:caps w:val="false"/>
                <w:smallCaps w:val="false"/>
                <w:sz w:val="20"/>
              </w:rPr>
              <w:t xml:space="preserve">except that this policy </w:t>
            </w:r>
            <w:r>
              <w:rPr>
                <w:rFonts w:ascii="Times New Roman;Times;serif" w:hAnsi="Times New Roman;Times;serif"/>
                <w:b/>
                <w:i/>
                <w:caps w:val="false"/>
                <w:smallCaps w:val="false"/>
                <w:sz w:val="20"/>
                <w:u w:val="single"/>
              </w:rPr>
              <w:t>does</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apply to your decision to participate in such plan, as well as the sale of any shares acquired under such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The purchase of Company stock in the Company’s 401(k) plan resulting from your periodic contribution of money to the plan pursuant to a payroll deduction election, </w:t>
            </w:r>
            <w:r>
              <w:rPr>
                <w:rFonts w:ascii="Times New Roman;Times;serif" w:hAnsi="Times New Roman;Times;serif"/>
                <w:b/>
                <w:i/>
                <w:caps w:val="false"/>
                <w:smallCaps w:val="false"/>
                <w:sz w:val="20"/>
              </w:rPr>
              <w:t xml:space="preserve">except that this policy </w:t>
            </w:r>
            <w:r>
              <w:rPr>
                <w:rFonts w:ascii="Times New Roman;Times;serif" w:hAnsi="Times New Roman;Times;serif"/>
                <w:b/>
                <w:i/>
                <w:caps w:val="false"/>
                <w:smallCaps w:val="false"/>
                <w:sz w:val="20"/>
                <w:u w:val="single"/>
              </w:rPr>
              <w:t>does</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apply to an election to increase or decrease the percentage of your periodic contributions that will be allocated to the Company stock fund, and to an election to make an intra- plan transfer of an existing account balance into or out of the Company stock fund.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Transactions executed pursuant to a current trading plan implemented by the Company pursuant to Rule 10b5-1, so long as the plan meets all SEC and Company requirements for effectiveness, </w:t>
            </w:r>
            <w:r>
              <w:rPr>
                <w:rFonts w:ascii="Times New Roman;Times;serif" w:hAnsi="Times New Roman;Times;serif"/>
                <w:b/>
                <w:i/>
                <w:caps w:val="false"/>
                <w:smallCaps w:val="false"/>
                <w:sz w:val="20"/>
              </w:rPr>
              <w:t>except that the implementation of the plan itself is deemed to be a transaction in securities that is subject to the terms of this policy</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60"/>
        <w:gridCol w:w="110"/>
        <w:gridCol w:w="83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3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government mandated transaction, subject to pre-clearance by the Company’s Compliance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you are not completely certain that a proposed transaction falls outside the scope of this policy, you should consult the Company’s Compliance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55" w:type="dxa"/>
        <w:jc w:val="left"/>
        <w:tblInd w:w="0" w:type="dxa"/>
        <w:tblLayout w:type="fixed"/>
        <w:tblCellMar>
          <w:top w:w="0" w:type="dxa"/>
          <w:left w:w="0" w:type="dxa"/>
          <w:bottom w:w="0" w:type="dxa"/>
          <w:right w:w="0" w:type="dxa"/>
        </w:tblCellMar>
      </w:tblPr>
      <w:tblGrid>
        <w:gridCol w:w="170"/>
        <w:gridCol w:w="78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6.</w:t>
            </w:r>
          </w:p>
        </w:tc>
        <w:tc>
          <w:tcPr>
            <w:tcW w:w="78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Penalties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Covered Persons who violate or allow a party for whom they are responsible to violate this policy may be subject to severe penalties imposed by the SEC or the Company. Potential penalties are as follows:</w:t>
      </w:r>
    </w:p>
    <w:p>
      <w:pPr>
        <w:pStyle w:val="TextBody"/>
        <w:bidi w:val="0"/>
        <w:spacing w:before="0" w:after="0"/>
        <w:ind w:left="0" w:right="0" w:hanging="0"/>
        <w:jc w:val="both"/>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60"/>
        <w:gridCol w:w="155"/>
        <w:gridCol w:w="116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1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SEC Penalties</w:t>
            </w:r>
          </w:p>
        </w:tc>
      </w:tr>
    </w:tbl>
    <w:p>
      <w:pPr>
        <w:pStyle w:val="TextBody"/>
        <w:bidi w:val="0"/>
        <w:spacing w:before="0" w:after="0"/>
        <w:ind w:left="0" w:right="0" w:hanging="0"/>
        <w:jc w:val="both"/>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60"/>
        <w:gridCol w:w="110"/>
        <w:gridCol w:w="80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0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violating individual is subject to a fine of up to $5,000,000, regardless of the size of any profit.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violating individual may be fined an amount up to three times the profits received or loss avoided, in addition to disgorging the actual profits received or loss avoided.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person, including the Company, its officers or directors who, at the time of the violation, directly or indirectly controlled the violating individual, may also be fined an amount up to the greater of $1,000,000 or three times the amount of the profits received or loss avoided by the violating individual if the controlling person knowingly or recklessly failed to prevent the violation.</w:t>
            </w:r>
          </w:p>
        </w:tc>
      </w:tr>
    </w:tbl>
    <w:p>
      <w:pPr>
        <w:pStyle w:val="TextBody"/>
        <w:bidi w:val="0"/>
        <w:spacing w:before="0" w:after="0"/>
        <w:ind w:left="0" w:right="0" w:hanging="0"/>
        <w:jc w:val="both"/>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60"/>
        <w:gridCol w:w="110"/>
        <w:gridCol w:w="57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violating individual is also subject to a jail term of up to 20 years.</w:t>
            </w:r>
          </w:p>
        </w:tc>
      </w:tr>
    </w:tbl>
    <w:p>
      <w:pPr>
        <w:pStyle w:val="TextBody"/>
        <w:bidi w:val="0"/>
        <w:spacing w:before="0" w:after="0"/>
        <w:ind w:left="0" w:right="0" w:hanging="0"/>
        <w:jc w:val="both"/>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60"/>
        <w:gridCol w:w="170"/>
        <w:gridCol w:w="15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5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Company Penalties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Violating individuals will be subject to disciplinary action at the discretion of the Company, which may include preclusion from future participation in employee stock ownership or similar plans, or any penalty up to and including dismissal from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may impose penalties for violations of this policy regardless of whether such violation is actionable under applicable law.</w:t>
            </w:r>
          </w:p>
        </w:tc>
      </w:tr>
    </w:tbl>
    <w:p>
      <w:pPr>
        <w:pStyle w:val="TextBody"/>
        <w:bidi w:val="0"/>
        <w:spacing w:before="0" w:after="0"/>
        <w:ind w:left="0" w:right="0" w:hanging="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170"/>
        <w:gridCol w:w="168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7.</w:t>
            </w:r>
          </w:p>
        </w:tc>
        <w:tc>
          <w:tcPr>
            <w:tcW w:w="168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Compliance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appointed the Manager, Internal Audit &amp; Compliance as the Company’s Compliance Officer for purposes of this policy. The Chief Executive Officer or Chief Financial Officer of the Company may change the Compliance Officer at their discretion. The Compliance Officer’s duties shall include, but not be limited to:</w:t>
      </w:r>
    </w:p>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60"/>
        <w:gridCol w:w="110"/>
        <w:gridCol w:w="92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2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Identifying Designated Covered Persons and other individuals who may be subject to pre-clearance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Obtaining clearance from the Chief Financial Officer for all transactions proposed by Designated Covered Persons and others for which pre-clearance is required.</w:t>
            </w:r>
          </w:p>
        </w:tc>
      </w:tr>
    </w:tbl>
    <w:p>
      <w:pPr>
        <w:pStyle w:val="TextBody"/>
        <w:bidi w:val="0"/>
        <w:spacing w:before="0" w:after="0"/>
        <w:ind w:left="0" w:right="0" w:hanging="0"/>
        <w:jc w:val="both"/>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60"/>
        <w:gridCol w:w="110"/>
        <w:gridCol w:w="55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5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Providing pre-clearance for transactions when required or requested.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Disseminating this policy to all Designated Covered Persons, including obtaining acknowledgments that the policy has been received and understood, and posting the policy to the Company website, including any updates.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Assisting Section 16 Individuals, as necessary, with preparing and filing Forms 3, 4, 5 and 144, and assisting with Section 16 and Rule 144 compliance.</w:t>
            </w:r>
          </w:p>
        </w:tc>
      </w:tr>
    </w:tbl>
    <w:p>
      <w:pPr>
        <w:pStyle w:val="TextBody"/>
        <w:bidi w:val="0"/>
        <w:spacing w:before="0" w:after="0"/>
        <w:ind w:left="0" w:right="0" w:hanging="0"/>
        <w:jc w:val="both"/>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60"/>
        <w:gridCol w:w="110"/>
        <w:gridCol w:w="66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6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Coordinating training for Designated Covered Persons on the effect of this policy.</w:t>
            </w:r>
          </w:p>
        </w:tc>
      </w:tr>
    </w:tbl>
    <w:p>
      <w:pPr>
        <w:pStyle w:val="TextBody"/>
        <w:bidi w:val="0"/>
        <w:spacing w:before="0" w:after="0"/>
        <w:ind w:left="0" w:right="0" w:hanging="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60"/>
        <w:gridCol w:w="110"/>
        <w:gridCol w:w="92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2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Assisting the officers and directors of the Company in implementing and maintaining compliance with this policy.</w:t>
            </w:r>
          </w:p>
        </w:tc>
      </w:tr>
    </w:tbl>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7</w:t>
      </w:r>
    </w:p>
    <w:p>
      <w:pPr>
        <w:pStyle w:val="TextBody"/>
        <w:bidi w:val="0"/>
        <w:spacing w:before="0" w:after="0"/>
        <w:ind w:left="0" w:right="0" w:hanging="0"/>
        <w:jc w:val="center"/>
        <w:rPr>
          <w:rFonts w:ascii="Times New Roman" w:hAnsi="Times New Roman"/>
          <w:caps w:val="false"/>
          <w:smallCaps w:val="false"/>
          <w:sz w:val="20"/>
        </w:rPr>
      </w:pPr>
      <w:bookmarkStart w:id="6" w:name="ex_1006764.htm"/>
      <w:bookmarkStart w:id="7" w:name="ksex_1006764"/>
      <w:bookmarkEnd w:id="6"/>
      <w:bookmarkEnd w:id="7"/>
      <w:r>
        <w:rPr>
          <w:rFonts w:ascii="Times New Roman" w:hAnsi="Times New Roman"/>
          <w:caps w:val="false"/>
          <w:smallCaps w:val="false"/>
          <w:sz w:val="20"/>
        </w:rPr>
        <w:t>EXHIBIT 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SUBSIDIARIES OF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 the registrant (a Wisconsin Corporation) owns directly or indirectly 100% of the following subsidiaries:</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60"/>
        <w:gridCol w:w="170"/>
        <w:gridCol w:w="4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44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Twin Disc International, S.R.L. (a Belgian corporation)</w:t>
            </w:r>
          </w:p>
        </w:tc>
      </w:tr>
    </w:tbl>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60"/>
        <w:gridCol w:w="170"/>
        <w:gridCol w:w="3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3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Twin Disc S.r.l. (an Italian corporation)</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60"/>
        <w:gridCol w:w="170"/>
        <w:gridCol w:w="3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38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Rolla Sp Propellers SAGL (a Swiss corporation)</w:t>
            </w:r>
          </w:p>
        </w:tc>
      </w:tr>
    </w:tbl>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60"/>
        <w:gridCol w:w="170"/>
        <w:gridCol w:w="45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45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Twin Disc (Pacific) Pty. Ltd. (an Australian corporation)</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60"/>
        <w:gridCol w:w="170"/>
        <w:gridCol w:w="73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73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Twin Disc (Far East) Ltd. (a Delaware corporation operating in Singapore and Hong Kong)</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60"/>
        <w:gridCol w:w="170"/>
        <w:gridCol w:w="44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44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Twin Disc (Far East) Pte. Ltd. (a Singapore corporation)</w:t>
            </w:r>
          </w:p>
        </w:tc>
      </w:tr>
    </w:tbl>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60"/>
        <w:gridCol w:w="170"/>
        <w:gridCol w:w="44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44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Twin Disc (Far East) Pte. Ltd. (an Indian special entity)</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60"/>
        <w:gridCol w:w="170"/>
        <w:gridCol w:w="33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3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Twin Disc Japan (a Japanese corporation)</w:t>
            </w:r>
          </w:p>
        </w:tc>
      </w:tr>
    </w:tbl>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60"/>
        <w:gridCol w:w="170"/>
        <w:gridCol w:w="6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6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Twin Disc Power Transmission Private, Ltd. (an Indian limited liability corporation)</w:t>
            </w:r>
          </w:p>
        </w:tc>
      </w:tr>
    </w:tbl>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60"/>
        <w:gridCol w:w="275"/>
        <w:gridCol w:w="609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6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Twin Disc Power Transmission (Shanghai) Co. Ltd. (a Chinese corporation)</w:t>
            </w:r>
          </w:p>
        </w:tc>
      </w:tr>
    </w:tbl>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60"/>
        <w:gridCol w:w="275"/>
        <w:gridCol w:w="45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45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Twin Disc NL Holding B.V. (a Netherlands corporation)</w:t>
            </w:r>
          </w:p>
        </w:tc>
      </w:tr>
    </w:tbl>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60"/>
        <w:gridCol w:w="275"/>
        <w:gridCol w:w="477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47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Veth Propulsion Holding, B.V. (a Netherlands corporation)</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60"/>
        <w:gridCol w:w="275"/>
        <w:gridCol w:w="401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4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Veth Propulsion B.V. (a Netherlands corporation)</w:t>
            </w:r>
          </w:p>
        </w:tc>
      </w:tr>
    </w:tbl>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60"/>
        <w:gridCol w:w="275"/>
        <w:gridCol w:w="51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5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Twin Disc European Distribution S.R.L (a Belgian corporation)</w:t>
            </w:r>
          </w:p>
        </w:tc>
      </w:tr>
    </w:tbl>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60"/>
        <w:gridCol w:w="275"/>
        <w:gridCol w:w="266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c>
          <w:tcPr>
            <w:tcW w:w="26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Katsa Oy (a Finnish corporation)</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60"/>
        <w:gridCol w:w="275"/>
        <w:gridCol w:w="386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16.</w:t>
            </w:r>
          </w:p>
        </w:tc>
        <w:tc>
          <w:tcPr>
            <w:tcW w:w="38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TD Finland Holding Oy (a Finnish corporation)</w:t>
            </w:r>
          </w:p>
        </w:tc>
      </w:tr>
    </w:tbl>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60"/>
        <w:gridCol w:w="275"/>
        <w:gridCol w:w="500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c>
          <w:tcPr>
            <w:tcW w:w="50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Twin Disc New Zealand Limited (a New Zealand corporation)</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60"/>
        <w:gridCol w:w="275"/>
        <w:gridCol w:w="461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18.</w:t>
            </w:r>
          </w:p>
        </w:tc>
        <w:tc>
          <w:tcPr>
            <w:tcW w:w="4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Kobelt Manufacturing Co. Ltd. (a Canadian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 also owns 66% of Twin Disc Nico Co. LTD. (a Japanese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 has neither a parent nor any other subsidiaries. All of the above subsidiaries are included in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8" w:name="ex_1006763.htm"/>
      <w:bookmarkStart w:id="9" w:name="ksex_1006763"/>
      <w:bookmarkEnd w:id="8"/>
      <w:bookmarkEnd w:id="9"/>
      <w:r>
        <w:rPr>
          <w:rFonts w:ascii="Times New Roman" w:hAnsi="Times New Roman"/>
          <w:caps w:val="false"/>
          <w:smallCaps w:val="false"/>
          <w:sz w:val="20"/>
        </w:rPr>
        <w:t>EXHIBIT 23a</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Registration Statement (Nos. 333-282923 and 333-260800) on Form S-8 of Twin Disc, Incorporated of our reports dated September 4, 2026, relating to the consolidated financial statements, the financial statement schedule and the effectiveness of internal control over financial reporting of Twin Disc, Incorporated, appearing in this Annual Report on Form 10-K of Twin Disc, Incorporated for the year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RSM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Milwaukee, Wisconsin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September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10" w:name="ex_1006762.htm"/>
      <w:bookmarkStart w:id="11" w:name="ksex_1006762"/>
      <w:bookmarkEnd w:id="10"/>
      <w:bookmarkEnd w:id="11"/>
      <w:r>
        <w:rPr>
          <w:rFonts w:ascii="Times New Roman" w:hAnsi="Times New Roman"/>
          <w:caps w:val="false"/>
          <w:smallCaps w:val="false"/>
          <w:sz w:val="20"/>
        </w:rPr>
        <w:t>EXHIBIT 24</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undersigned directors of Twin Disc, Incorporated hereby severally constitute John H. Batten and Jeffrey S. Knutson, and each of them singly, true and lawful attorneys with full power to them, and each of them, singly, to sign for us and in our names as directors the Form 10-K Annual Report for the fiscal year ended June 30, 2026 pursuant to Section 13 or 15(d) of the Securities Exchange Act of 1934, and generally do all such things in our names and behalf as directors to enable Twin Disc, Incorporated to comply with the provisions of the Securities and Exchange Act of 1934 and all requirements of the Securities and Exchange Commission, hereby ratifying and confirming our signatures so they may be signed by our attorneys, or either of them,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35" w:type="dxa"/>
        <w:jc w:val="left"/>
        <w:tblInd w:w="0" w:type="dxa"/>
        <w:tblLayout w:type="fixed"/>
        <w:tblCellMar>
          <w:top w:w="0" w:type="dxa"/>
          <w:left w:w="0" w:type="dxa"/>
          <w:bottom w:w="0" w:type="dxa"/>
          <w:right w:w="0" w:type="dxa"/>
        </w:tblCellMar>
      </w:tblPr>
      <w:tblGrid>
        <w:gridCol w:w="2375"/>
        <w:gridCol w:w="80"/>
        <w:gridCol w:w="1280"/>
      </w:tblGrid>
      <w:tr>
        <w:trPr/>
        <w:tc>
          <w:tcPr>
            <w:tcW w:w="2375" w:type="dxa"/>
            <w:tcBorders/>
            <w:vAlign w:val="center"/>
          </w:tcPr>
          <w:p>
            <w:pPr>
              <w:pStyle w:val="TableContents"/>
              <w:bidi w:val="0"/>
              <w:spacing w:before="0" w:after="0"/>
              <w:ind w:left="0" w:right="0" w:hanging="0"/>
              <w:jc w:val="left"/>
              <w:rPr>
                <w:caps w:val="false"/>
                <w:smallCaps w:val="false"/>
                <w:u w:val="single"/>
              </w:rPr>
            </w:pPr>
            <w:r>
              <w:rPr>
                <w:caps w:val="false"/>
                <w:smallCaps w:val="false"/>
                <w:u w:val="single"/>
              </w:rPr>
              <w:t> </w:t>
            </w:r>
            <w:r>
              <w:rPr>
                <w:rFonts w:ascii="Times New Roman;Times;serif" w:hAnsi="Times New Roman;Times;serif"/>
                <w:caps w:val="false"/>
                <w:smallCaps w:val="false"/>
                <w:sz w:val="20"/>
                <w:u w:val="single"/>
              </w:rPr>
              <w:t>/s/ MICHAEL DOAR</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Doar, Director</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ind w:left="0" w:right="0" w:hanging="0"/>
              <w:jc w:val="left"/>
              <w:rPr>
                <w:caps w:val="false"/>
                <w:smallCaps w:val="false"/>
                <w:u w:val="single"/>
              </w:rPr>
            </w:pPr>
            <w:r>
              <w:rPr>
                <w:caps w:val="false"/>
                <w:smallCaps w:val="false"/>
                <w:u w:val="single"/>
              </w:rPr>
              <w:t> </w:t>
            </w:r>
            <w:r>
              <w:rPr>
                <w:rFonts w:ascii="Times New Roman;Times;serif" w:hAnsi="Times New Roman;Times;serif"/>
                <w:caps w:val="false"/>
                <w:smallCaps w:val="false"/>
                <w:sz w:val="20"/>
                <w:u w:val="single"/>
              </w:rPr>
              <w:t>/s/ JANET P. GIESSELMAN</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Janet P. Giesselman, Director</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ind w:left="0" w:right="0" w:hanging="0"/>
              <w:jc w:val="left"/>
              <w:rPr>
                <w:caps w:val="false"/>
                <w:smallCaps w:val="false"/>
                <w:u w:val="single"/>
              </w:rPr>
            </w:pPr>
            <w:r>
              <w:rPr>
                <w:caps w:val="false"/>
                <w:smallCaps w:val="false"/>
                <w:u w:val="single"/>
              </w:rPr>
              <w:t> </w:t>
            </w:r>
            <w:r>
              <w:rPr>
                <w:rFonts w:ascii="Times New Roman;Times;serif" w:hAnsi="Times New Roman;Times;serif"/>
                <w:caps w:val="false"/>
                <w:smallCaps w:val="false"/>
                <w:sz w:val="20"/>
                <w:u w:val="single"/>
              </w:rPr>
              <w:t>/s/ DAVID W. JOHNSON</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David W. Johnson, Director</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ind w:left="0" w:right="0" w:hanging="0"/>
              <w:jc w:val="left"/>
              <w:rPr>
                <w:caps w:val="false"/>
                <w:smallCaps w:val="false"/>
                <w:u w:val="single"/>
              </w:rPr>
            </w:pPr>
            <w:r>
              <w:rPr>
                <w:caps w:val="false"/>
                <w:smallCaps w:val="false"/>
                <w:u w:val="single"/>
              </w:rPr>
              <w:t> </w:t>
            </w:r>
            <w:r>
              <w:rPr>
                <w:rFonts w:ascii="Times New Roman;Times;serif" w:hAnsi="Times New Roman;Times;serif"/>
                <w:caps w:val="false"/>
                <w:smallCaps w:val="false"/>
                <w:sz w:val="20"/>
                <w:u w:val="single"/>
              </w:rPr>
              <w:t>/s/ JULIANN LARIMER</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August 6, 2026</w:t>
            </w:r>
          </w:p>
        </w:tc>
      </w:tr>
      <w:tr>
        <w:trPr/>
        <w:tc>
          <w:tcPr>
            <w:tcW w:w="2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Juliann Larimer, Director</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ind w:left="0" w:right="0" w:hanging="0"/>
              <w:jc w:val="left"/>
              <w:rPr>
                <w:caps w:val="false"/>
                <w:smallCaps w:val="false"/>
                <w:u w:val="single"/>
              </w:rPr>
            </w:pPr>
            <w:r>
              <w:rPr>
                <w:caps w:val="false"/>
                <w:smallCaps w:val="false"/>
                <w:u w:val="single"/>
              </w:rPr>
              <w:t> </w:t>
            </w:r>
            <w:r>
              <w:rPr>
                <w:rFonts w:ascii="Times New Roman;Times;serif" w:hAnsi="Times New Roman;Times;serif"/>
                <w:caps w:val="false"/>
                <w:smallCaps w:val="false"/>
                <w:sz w:val="20"/>
                <w:u w:val="single"/>
              </w:rPr>
              <w:t>/s/ KEVIN M. OLSEN</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Kevin M. Olsen, Director</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ind w:left="0" w:right="0" w:hanging="0"/>
              <w:jc w:val="left"/>
              <w:rPr>
                <w:caps w:val="false"/>
                <w:smallCaps w:val="false"/>
                <w:u w:val="single"/>
              </w:rPr>
            </w:pPr>
            <w:r>
              <w:rPr>
                <w:caps w:val="false"/>
                <w:smallCaps w:val="false"/>
                <w:u w:val="single"/>
              </w:rPr>
              <w:t> </w:t>
            </w:r>
            <w:r>
              <w:rPr>
                <w:rFonts w:ascii="Times New Roman;Times;serif" w:hAnsi="Times New Roman;Times;serif"/>
                <w:caps w:val="false"/>
                <w:smallCaps w:val="false"/>
                <w:sz w:val="20"/>
                <w:u w:val="single"/>
              </w:rPr>
              <w:t>/s/ MICHAEL C. SMILEY</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C. Smiley, Director</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12" w:name="ex_1006761.htm"/>
      <w:bookmarkStart w:id="13" w:name="ksex_1006761"/>
      <w:bookmarkEnd w:id="12"/>
      <w:bookmarkEnd w:id="13"/>
      <w:r>
        <w:rPr>
          <w:rFonts w:ascii="Times New Roman" w:hAnsi="Times New Roman"/>
          <w:caps w:val="false"/>
          <w:smallCaps w:val="false"/>
          <w:sz w:val="20"/>
        </w:rPr>
        <w:t>EXHIBIT 31a</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John H. Batten, certify that:</w:t>
      </w:r>
    </w:p>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60"/>
        <w:gridCol w:w="170"/>
        <w:gridCol w:w="62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annual report on Form 10-K of Twin Disc, Incorporated;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2015"/>
        <w:gridCol w:w="3080"/>
      </w:tblGrid>
      <w:tr>
        <w:trPr/>
        <w:tc>
          <w:tcPr>
            <w:tcW w:w="2015"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Date: September 4, 2026</w:t>
            </w:r>
          </w:p>
        </w:tc>
        <w:tc>
          <w:tcPr>
            <w:tcW w:w="308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By: /s/ JOHN H. BATTEN</w:t>
            </w:r>
          </w:p>
        </w:tc>
      </w:tr>
      <w:tr>
        <w:trPr/>
        <w:tc>
          <w:tcPr>
            <w:tcW w:w="201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H. Batten</w:t>
            </w:r>
          </w:p>
        </w:tc>
      </w:tr>
      <w:tr>
        <w:trPr/>
        <w:tc>
          <w:tcPr>
            <w:tcW w:w="201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14" w:name="ex_1006760.htm"/>
      <w:bookmarkStart w:id="15" w:name="ksex_1006760"/>
      <w:bookmarkEnd w:id="14"/>
      <w:bookmarkEnd w:id="15"/>
      <w:r>
        <w:rPr>
          <w:rFonts w:ascii="Times New Roman" w:hAnsi="Times New Roman"/>
          <w:caps w:val="false"/>
          <w:smallCaps w:val="false"/>
          <w:sz w:val="20"/>
        </w:rPr>
        <w:t>EXHIBIT 31b</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Jeffrey S. Knutson, certify that:</w:t>
      </w:r>
    </w:p>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60"/>
        <w:gridCol w:w="170"/>
        <w:gridCol w:w="62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annual report on Form 10-K of Twin Disc, Incorporated;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2015"/>
        <w:gridCol w:w="3335"/>
      </w:tblGrid>
      <w:tr>
        <w:trPr/>
        <w:tc>
          <w:tcPr>
            <w:tcW w:w="2015"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Date: September 4, 2026</w:t>
            </w:r>
          </w:p>
        </w:tc>
        <w:tc>
          <w:tcPr>
            <w:tcW w:w="333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JEFFREY S. KNUTSON</w:t>
            </w:r>
          </w:p>
        </w:tc>
      </w:tr>
      <w:tr>
        <w:trPr/>
        <w:tc>
          <w:tcPr>
            <w:tcW w:w="2015"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S. Knutson</w:t>
            </w:r>
          </w:p>
        </w:tc>
      </w:tr>
      <w:tr>
        <w:trPr/>
        <w:tc>
          <w:tcPr>
            <w:tcW w:w="2015"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Vice President - Finance, Chief Financial</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Officer, Treasurer, and Secretary</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16" w:name="ex_1006759.htm"/>
      <w:bookmarkStart w:id="17" w:name="ksex_1006759"/>
      <w:bookmarkEnd w:id="16"/>
      <w:bookmarkEnd w:id="17"/>
      <w:r>
        <w:rPr>
          <w:rFonts w:ascii="Times New Roman" w:hAnsi="Times New Roman"/>
          <w:caps w:val="false"/>
          <w:smallCaps w:val="false"/>
          <w:sz w:val="20"/>
        </w:rPr>
        <w:t>EXHIBIT 32a</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ADOPTED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connection with the Annual Report of Twin Disc, Incorporated (the “Company”) on Form 10-K for the fiscal year ending June 30, 2026, as filed with the Securities and Exchange Commission as of the date hereof (the “Report”), I, John H. Batten, President and Chief Executive Officer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245"/>
        <w:gridCol w:w="722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72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Section 13(a)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2015"/>
        <w:gridCol w:w="3080"/>
      </w:tblGrid>
      <w:tr>
        <w:trPr/>
        <w:tc>
          <w:tcPr>
            <w:tcW w:w="2015"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Date: September 4, 2026</w:t>
            </w:r>
          </w:p>
        </w:tc>
        <w:tc>
          <w:tcPr>
            <w:tcW w:w="308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By: /s/ JOHN H. BATTEN</w:t>
            </w:r>
          </w:p>
        </w:tc>
      </w:tr>
      <w:tr>
        <w:trPr/>
        <w:tc>
          <w:tcPr>
            <w:tcW w:w="201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H. Batten</w:t>
            </w:r>
          </w:p>
        </w:tc>
      </w:tr>
      <w:tr>
        <w:trPr/>
        <w:tc>
          <w:tcPr>
            <w:tcW w:w="201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18" w:name="ex_1006758.htm"/>
      <w:bookmarkStart w:id="19" w:name="ksex_1006758"/>
      <w:bookmarkEnd w:id="18"/>
      <w:bookmarkEnd w:id="19"/>
      <w:r>
        <w:rPr>
          <w:rFonts w:ascii="Times New Roman" w:hAnsi="Times New Roman"/>
          <w:caps w:val="false"/>
          <w:smallCaps w:val="false"/>
          <w:sz w:val="20"/>
        </w:rPr>
        <w:t>EXHIBIT 32b</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ADOPTED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connection with the Annual Report of Twin Disc, Incorporated (the “Company”) on Form 10-K for the fiscal year ending June 30, 2026, as filed with the Securities and Exchange Commission as of the date hereof (the “Report”), I, Jeffrey S. Knutson, Vice President - Finance, Chief Financial Officer, Treasurer, and Secretary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245"/>
        <w:gridCol w:w="722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72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Section 13(a)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71"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2015"/>
        <w:gridCol w:w="3335"/>
      </w:tblGrid>
      <w:tr>
        <w:trPr/>
        <w:tc>
          <w:tcPr>
            <w:tcW w:w="2015"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Date: September 4, 2026</w:t>
            </w:r>
          </w:p>
        </w:tc>
        <w:tc>
          <w:tcPr>
            <w:tcW w:w="333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By: /s/ JEFFREY S. KNUTSON</w:t>
            </w:r>
          </w:p>
        </w:tc>
      </w:tr>
      <w:tr>
        <w:trPr/>
        <w:tc>
          <w:tcPr>
            <w:tcW w:w="2015"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S. Knutson</w:t>
            </w:r>
          </w:p>
        </w:tc>
      </w:tr>
      <w:tr>
        <w:trPr/>
        <w:tc>
          <w:tcPr>
            <w:tcW w:w="2015"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Vice President - Finance, Chief Financial</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Officer, Treasurer,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0" w:name="ex_1006837.htm"/>
      <w:bookmarkStart w:id="21" w:name="ksex_1006837"/>
      <w:bookmarkEnd w:id="20"/>
      <w:bookmarkEnd w:id="21"/>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97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266825" cy="6381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42"/>
                    <a:stretch>
                      <a:fillRect/>
                    </a:stretch>
                  </pic:blipFill>
                  <pic:spPr bwMode="auto">
                    <a:xfrm>
                      <a:off x="0" y="0"/>
                      <a:ext cx="1266825"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TWIN DISC, INCORPORATED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MANDATORY CLAWBACK POLICY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Effective October 1, 2023</w:t>
      </w:r>
    </w:p>
    <w:p>
      <w:pPr>
        <w:pStyle w:val="TextBody"/>
        <w:bidi w:val="0"/>
        <w:spacing w:before="0" w:after="0"/>
        <w:ind w:left="0" w:right="0" w:hanging="0"/>
        <w:jc w:val="left"/>
        <w:rPr>
          <w:caps w:val="false"/>
          <w:smallCaps w:val="false"/>
        </w:rPr>
      </w:pPr>
      <w:r>
        <w:rPr>
          <w:caps w:val="false"/>
          <w:smallCaps w:val="false"/>
        </w:rPr>
        <w:t> </w:t>
      </w:r>
    </w:p>
    <w:tbl>
      <w:tblPr>
        <w:tblW w:w="895" w:type="dxa"/>
        <w:jc w:val="left"/>
        <w:tblInd w:w="0" w:type="dxa"/>
        <w:tblLayout w:type="fixed"/>
        <w:tblCellMar>
          <w:top w:w="0" w:type="dxa"/>
          <w:left w:w="0" w:type="dxa"/>
          <w:bottom w:w="0" w:type="dxa"/>
          <w:right w:w="0" w:type="dxa"/>
        </w:tblCellMar>
      </w:tblPr>
      <w:tblGrid>
        <w:gridCol w:w="185"/>
        <w:gridCol w:w="710"/>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7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This Mandatory Clawback Policy (this “</w:t>
      </w:r>
      <w:r>
        <w:rPr>
          <w:rFonts w:ascii="Times New Roman" w:hAnsi="Times New Roman"/>
          <w:caps w:val="false"/>
          <w:smallCaps w:val="false"/>
          <w:sz w:val="20"/>
          <w:u w:val="single"/>
        </w:rPr>
        <w:t>Policy</w:t>
      </w:r>
      <w:r>
        <w:rPr>
          <w:rFonts w:ascii="Times New Roman" w:hAnsi="Times New Roman"/>
          <w:caps w:val="false"/>
          <w:smallCaps w:val="false"/>
          <w:sz w:val="20"/>
        </w:rPr>
        <w:t>”), adopted by the Compensation and Human Capital Committee (the “</w:t>
      </w:r>
      <w:r>
        <w:rPr>
          <w:rFonts w:ascii="Times New Roman" w:hAnsi="Times New Roman"/>
          <w:caps w:val="false"/>
          <w:smallCaps w:val="false"/>
          <w:sz w:val="20"/>
          <w:u w:val="single"/>
        </w:rPr>
        <w:t>CHCC</w:t>
      </w:r>
      <w:r>
        <w:rPr>
          <w:rFonts w:ascii="Times New Roman" w:hAnsi="Times New Roman"/>
          <w:caps w:val="false"/>
          <w:smallCaps w:val="false"/>
          <w:sz w:val="20"/>
        </w:rPr>
        <w:t>”) of Twin Disc, Incorporated (the “</w:t>
      </w:r>
      <w:r>
        <w:rPr>
          <w:rFonts w:ascii="Times New Roman" w:hAnsi="Times New Roman"/>
          <w:caps w:val="false"/>
          <w:smallCaps w:val="false"/>
          <w:sz w:val="20"/>
          <w:u w:val="single"/>
        </w:rPr>
        <w:t>Company</w:t>
      </w:r>
      <w:r>
        <w:rPr>
          <w:rFonts w:ascii="Times New Roman" w:hAnsi="Times New Roman"/>
          <w:caps w:val="false"/>
          <w:smallCaps w:val="false"/>
          <w:sz w:val="20"/>
        </w:rPr>
        <w:t>”), sets forth the conditions under which the Company shall recover Incentive-Based Compensation in the event that the Company is required to prepare an accounting restatement due to the material noncompliance of the Company with any financial reporting requirement under the securities laws (“</w:t>
      </w:r>
      <w:r>
        <w:rPr>
          <w:rFonts w:ascii="Times New Roman" w:hAnsi="Times New Roman"/>
          <w:caps w:val="false"/>
          <w:smallCaps w:val="false"/>
          <w:sz w:val="20"/>
          <w:u w:val="single"/>
        </w:rPr>
        <w:t>Mandatory</w:t>
      </w:r>
      <w:r>
        <w:rPr>
          <w:rFonts w:ascii="Times New Roman" w:hAnsi="Times New Roman"/>
          <w:caps w:val="false"/>
          <w:smallCaps w:val="false"/>
          <w:sz w:val="20"/>
        </w:rPr>
        <w:t xml:space="preserve"> </w:t>
      </w:r>
      <w:r>
        <w:rPr>
          <w:rFonts w:ascii="Times New Roman" w:hAnsi="Times New Roman"/>
          <w:caps w:val="false"/>
          <w:smallCaps w:val="false"/>
          <w:sz w:val="20"/>
          <w:u w:val="single"/>
        </w:rPr>
        <w:t>Clawback</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185"/>
        <w:gridCol w:w="935"/>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9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Definitions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9"/>
        <w:gridCol w:w="9966"/>
      </w:tblGrid>
      <w:tr>
        <w:trPr/>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6" w:type="dxa"/>
            <w:tcBorders/>
            <w:vAlign w:val="center"/>
          </w:tcPr>
          <w:p>
            <w:pPr>
              <w:pStyle w:val="TableContents"/>
              <w:bidi w:val="0"/>
              <w:spacing w:before="0" w:after="0"/>
              <w:ind w:left="0" w:right="0" w:hanging="0"/>
              <w:jc w:val="both"/>
              <w:rPr>
                <w:caps w:val="false"/>
                <w:smallCaps w:val="false"/>
              </w:rPr>
            </w:pPr>
            <w:r>
              <w:rPr>
                <w:caps w:val="false"/>
                <w:smallCaps w:val="false"/>
                <w:u w:val="single"/>
              </w:rPr>
              <w:t>“</w:t>
            </w:r>
            <w:r>
              <w:rPr>
                <w:rFonts w:ascii="Times New Roman;Times;serif" w:hAnsi="Times New Roman;Times;serif"/>
                <w:caps w:val="false"/>
                <w:smallCaps w:val="false"/>
                <w:sz w:val="20"/>
                <w:u w:val="single"/>
              </w:rPr>
              <w:t>Executive Officer</w:t>
            </w:r>
            <w:r>
              <w:rPr>
                <w:rFonts w:ascii="Times New Roman;Times;serif" w:hAnsi="Times New Roman;Times;serif"/>
                <w:caps w:val="false"/>
                <w:smallCaps w:val="false"/>
                <w:sz w:val="20"/>
              </w:rPr>
              <w:t>” shall mean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 making functions for the Company. Policy-making function is not intended to include policy-making functions that are not significant.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6" w:type="dxa"/>
            <w:tcBorders/>
            <w:vAlign w:val="center"/>
          </w:tcPr>
          <w:p>
            <w:pPr>
              <w:pStyle w:val="TableContents"/>
              <w:bidi w:val="0"/>
              <w:spacing w:before="0" w:after="0"/>
              <w:ind w:left="0" w:right="0" w:hanging="0"/>
              <w:jc w:val="both"/>
              <w:rPr>
                <w:caps w:val="false"/>
                <w:smallCaps w:val="false"/>
              </w:rPr>
            </w:pPr>
            <w:r>
              <w:rPr>
                <w:caps w:val="false"/>
                <w:smallCaps w:val="false"/>
                <w:u w:val="single"/>
              </w:rPr>
              <w:t>“</w:t>
            </w:r>
            <w:r>
              <w:rPr>
                <w:rFonts w:ascii="Times New Roman;Times;serif" w:hAnsi="Times New Roman;Times;serif"/>
                <w:caps w:val="false"/>
                <w:smallCaps w:val="false"/>
                <w:sz w:val="20"/>
                <w:u w:val="single"/>
              </w:rPr>
              <w:t>Incentive-Based Compensation</w:t>
            </w:r>
            <w:r>
              <w:rPr>
                <w:rFonts w:ascii="Times New Roman;Times;serif" w:hAnsi="Times New Roman;Times;serif"/>
                <w:caps w:val="false"/>
                <w:smallCaps w:val="false"/>
                <w:sz w:val="20"/>
              </w:rPr>
              <w:t>” shall mean any compensation that is granted, earned, or vested based wholly or in part upon the attainment of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2"/>
        <w:gridCol w:w="9953"/>
      </w:tblGrid>
      <w:tr>
        <w:trPr/>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Incentive-Based Compensation shall be deemed “</w:t>
            </w:r>
            <w:r>
              <w:rPr>
                <w:rFonts w:ascii="Times New Roman;Times;serif" w:hAnsi="Times New Roman;Times;serif"/>
                <w:caps w:val="false"/>
                <w:smallCaps w:val="false"/>
                <w:sz w:val="20"/>
                <w:u w:val="single"/>
              </w:rPr>
              <w:t>Received</w:t>
            </w:r>
            <w:r>
              <w:rPr>
                <w:rFonts w:ascii="Times New Roman;Times;serif" w:hAnsi="Times New Roman;Times;serif"/>
                <w:caps w:val="false"/>
                <w:smallCaps w:val="false"/>
                <w:sz w:val="20"/>
              </w:rPr>
              <w:t>” in the Company’s fiscal period during which the financial reporting measure specified in the Incentive-Based Compensation award is attained, even if the payment or grant of the Incentive-Based Compensation occurs after the end of that period.</w:t>
            </w:r>
          </w:p>
        </w:tc>
      </w:tr>
    </w:tbl>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185"/>
        <w:gridCol w:w="5990"/>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59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Conditions for Mandatory Clawback of Incentive-Based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CHCC shall recover reasonably promptly, the amount of erroneously awarded Incentive- Based Compensation Received by a person:</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60"/>
        <w:gridCol w:w="230"/>
        <w:gridCol w:w="228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22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or after October 2, 2023;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870" w:type="dxa"/>
        <w:jc w:val="left"/>
        <w:tblInd w:w="0" w:type="dxa"/>
        <w:tblLayout w:type="fixed"/>
        <w:tblCellMar>
          <w:top w:w="0" w:type="dxa"/>
          <w:left w:w="0" w:type="dxa"/>
          <w:bottom w:w="0" w:type="dxa"/>
          <w:right w:w="0" w:type="dxa"/>
        </w:tblCellMar>
      </w:tblPr>
      <w:tblGrid>
        <w:gridCol w:w="60"/>
        <w:gridCol w:w="245"/>
        <w:gridCol w:w="45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45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After such person began service as an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60"/>
        <w:gridCol w:w="230"/>
        <w:gridCol w:w="963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6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Who served as an Executive Officer at any time during the performance period for that Incentive-Based Compensation;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4"/>
        <w:gridCol w:w="9901"/>
      </w:tblGrid>
      <w:tr>
        <w:trPr/>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While the Company has a class of securities listed on a national securities exchange or a national securities association;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5"/>
        <w:gridCol w:w="9970"/>
      </w:tblGrid>
      <w:tr>
        <w:trPr/>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99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During the three (3) completed fiscal years immediately preceding the date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For this purpose, the date that the Company is required to prepare an accounting restatement is the earlier to occur of (i) the date the Company’s Board of Directors (or a committee of the Board of Directors authorized to take such action if action by the Board of Directors is not required) concludes, or reasonably should have concluded, that the Company is required to prepare an accounting restatement described in this paragraph, or (ii) the date a court, regulator, or other legally authorized body directs the Company to prepare an accounting restatement described in this paragraph.</w:t>
            </w:r>
          </w:p>
        </w:tc>
      </w:tr>
    </w:tbl>
    <w:p>
      <w:pPr>
        <w:pStyle w:val="TextBody"/>
        <w:bidi w:val="0"/>
        <w:spacing w:before="0" w:after="0"/>
        <w:ind w:left="1080" w:right="0" w:hanging="0"/>
        <w:jc w:val="both"/>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185"/>
        <w:gridCol w:w="4505"/>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w:t>
            </w:r>
          </w:p>
        </w:tc>
        <w:tc>
          <w:tcPr>
            <w:tcW w:w="45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Impracticability Exception for Mandatory Clawback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Mandatory Clawback shall not be required if the CHCC determines that such recovery would be impracticable, and that any one of the following factors apply: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9"/>
        <w:gridCol w:w="9956"/>
      </w:tblGrid>
      <w:tr>
        <w:trPr/>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direct expense paid to a third party to assist in enforcing the policy would exceed the amount to be recovered; provided that the Company has made a reasonable attempt to recover such erroneously awarded compensation, documented such reasonable attempt(s) to recover, and provided that documentation to the Nasdaq Stock Market (“Nasdaq”).</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3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would violate home country law where that law was adopted prior to November 28, 2022; provided that the Company has obtained an opinion of home country counsel acceptable to Nasdaq that recovery would result in such a violation, and has provided such opinion to Nasdaq.</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4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would likely cause an otherwise tax-qualified retirement plan, under which benefits are broadly available to employees of the registrant, to fail to meet the requirements of 26 U.S.C. 401(a)(13) or 26 U.S.C. 411(a) and regulations thereunder.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975" w:type="dxa"/>
        <w:jc w:val="left"/>
        <w:tblInd w:w="0" w:type="dxa"/>
        <w:tblLayout w:type="fixed"/>
        <w:tblCellMar>
          <w:top w:w="0" w:type="dxa"/>
          <w:left w:w="0" w:type="dxa"/>
          <w:bottom w:w="0" w:type="dxa"/>
          <w:right w:w="0" w:type="dxa"/>
        </w:tblCellMar>
      </w:tblPr>
      <w:tblGrid>
        <w:gridCol w:w="185"/>
        <w:gridCol w:w="1790"/>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w:t>
            </w:r>
          </w:p>
        </w:tc>
        <w:tc>
          <w:tcPr>
            <w:tcW w:w="17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 of Clawback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In the event of a Mandatory Clawback, the amount of Incentive-Based Compensation subject to recovery shall be the amount of Incentive-Based Compensation Received that exceeds the amount of Incentive-Based Compensation that otherwise would have been received had it been determined based on the restated amounts, and must be computed without regard to any taxes paid. In the event that the Incentive-Based Compensation is based on stock price or total shareholder return, where the amount of erroneously awarded compensation is not subject to mathematical recalculation directly from the information in an accounting restatement, the following must occur: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amount must be based on a reasonable estimate of the effect of the accounting restatement on the stock price or total shareholder return upon which the Incentive-Based Compensation was Received;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7"/>
        <w:gridCol w:w="9908"/>
      </w:tblGrid>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0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must maintain documentation of the determination of that reasonable estimate and provide such documentation to Nasdaq.</w:t>
            </w:r>
          </w:p>
        </w:tc>
      </w:tr>
    </w:tbl>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85"/>
        <w:gridCol w:w="369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6)</w:t>
            </w:r>
          </w:p>
        </w:tc>
        <w:tc>
          <w:tcPr>
            <w:tcW w:w="36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Recovery of Incentive-Based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7"/>
        <w:gridCol w:w="9968"/>
      </w:tblGrid>
      <w:tr>
        <w:trPr/>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So long as such recovery occurs in a reasonably prompt manner, the CHCC shall have discretion with respect to recovery of Incentive-Based Compensation to determine whether the Company shall seek such recovery: (i) by seeking repayment from the Executive Officer; (ii) by reducing amounts that would otherwise be payable to the Executive Officer under any compensatory plan, program or arrangement maintained by the Company or any subsidiary or affiliate of the Company (subject to applicable law and the terms and conditions of the applicable plan, program or arrangement); (iii) by withholding payment of future increases in compensation (including the payment of any discretionary bonus amounts) or grants of compensatory awards that would have otherwise been made in accordance with the Company’s applicable compensation practices; or (iv) by any combination of the above.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shall not indemnify any Executive Officer or former Executive Officer against the loss of erroneously awarded Incentive-Based Compensation.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2"/>
        <w:gridCol w:w="9943"/>
      </w:tblGrid>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recovery of Incentive Compensation under this policy is in addition to any other right or remedy available to the Company, including termination of employment or institution of civil or criminal proceedings.</w:t>
            </w:r>
          </w:p>
        </w:tc>
      </w:tr>
    </w:tbl>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85"/>
        <w:gridCol w:w="4025"/>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7)</w:t>
            </w:r>
          </w:p>
        </w:tc>
        <w:tc>
          <w:tcPr>
            <w:tcW w:w="40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Authority and Binding Effect of Determinations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CHCC shall have full and final authority to make all determinations under this policy in its sole discretion. Any determination made by the CHCC under this policy shall be final, binding, and conclusive on all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785" w:type="dxa"/>
        <w:jc w:val="left"/>
        <w:tblInd w:w="0" w:type="dxa"/>
        <w:tblLayout w:type="fixed"/>
        <w:tblCellMar>
          <w:top w:w="0" w:type="dxa"/>
          <w:left w:w="0" w:type="dxa"/>
          <w:bottom w:w="0" w:type="dxa"/>
          <w:right w:w="0" w:type="dxa"/>
        </w:tblCellMar>
      </w:tblPr>
      <w:tblGrid>
        <w:gridCol w:w="185"/>
        <w:gridCol w:w="2600"/>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8)</w:t>
            </w:r>
          </w:p>
        </w:tc>
        <w:tc>
          <w:tcPr>
            <w:tcW w:w="26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Compliance with Section 409A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Any set-offs of deferred benefits to recover the amounts to be repaid by Executive Officers under this policy shall be made in a manner that complies with the requirements of Section 409A of the Internal Revenue Code of 1986, as amended, and the regulations promulgated thereunder.</w:t>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185"/>
        <w:gridCol w:w="3335"/>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9)</w:t>
            </w:r>
          </w:p>
        </w:tc>
        <w:tc>
          <w:tcPr>
            <w:tcW w:w="33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Compliance with Nasdaq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This Policy is intended to comply with the listing standards applicable to the Company under the rules of Nasdaq (or such other securities exchange on which the Company’s securities are listed for trading). The CHCC shall interpret and apply the terms of this Policy in accordance with such listing standards.</w:t>
      </w:r>
    </w:p>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290"/>
        <w:gridCol w:w="1055"/>
      </w:tblGrid>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10)</w:t>
            </w:r>
          </w:p>
        </w:tc>
        <w:tc>
          <w:tcPr>
            <w:tcW w:w="10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Severability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If any provision of this policy or the application of any provision in this policy to an Executive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283"/>
        <w:jc w:val="center"/>
        <w:rPr>
          <w:rFonts w:ascii="Times New Roman" w:hAnsi="Times New Roman"/>
          <w:sz w:val="20"/>
        </w:rPr>
      </w:pPr>
      <w:r>
        <w:rPr>
          <w:rFonts w:ascii="Times New Roman" w:hAnsi="Times New Roman"/>
          <w:sz w:val="20"/>
        </w:rPr>
        <w:t>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hyperlink" Target="http://www.sec.gov/Archives/edgar/data/100378/000010037807000046/r8k1207ex1.htm" TargetMode="External"/><Relationship Id="rId13" Type="http://schemas.openxmlformats.org/officeDocument/2006/relationships/hyperlink" Target="http://www.sec.gov/Archives/edgar/data/100378/000143774920021992/ex_207942.htm" TargetMode="External"/><Relationship Id="rId14" Type="http://schemas.openxmlformats.org/officeDocument/2006/relationships/hyperlink" Target="http://www.sec.gov/Archives/edgar/data/100378/000143774920021992/ex_207943.htm" TargetMode="External"/><Relationship Id="rId15" Type="http://schemas.openxmlformats.org/officeDocument/2006/relationships/hyperlink" Target="http://www.sec.gov/Archives/edgar/data/100378/000143774921021350/ex_277956.htm" TargetMode="External"/><Relationship Id="rId16" Type="http://schemas.openxmlformats.org/officeDocument/2006/relationships/hyperlink" Target="http://www.sec.gov/Archives/edgar/data/100378/000143774926027029/ex_1001722.htm" TargetMode="External"/><Relationship Id="rId17" Type="http://schemas.openxmlformats.org/officeDocument/2006/relationships/hyperlink" Target="http://www.sec.gov/Archives/edgar/data/100378/000143774924024729/ex_708473.htm" TargetMode="External"/><Relationship Id="rId18" Type="http://schemas.openxmlformats.org/officeDocument/2006/relationships/hyperlink" Target="http://www.sec.gov/Archives/edgar/data/100378/000143774921021749/twin20210907_def14a.htm" TargetMode="External"/><Relationship Id="rId19" Type="http://schemas.openxmlformats.org/officeDocument/2006/relationships/hyperlink" Target="http://www.sec.gov/Archives/edgar/data/100378/000143774923022619/ex_557225.htm" TargetMode="External"/><Relationship Id="rId20" Type="http://schemas.openxmlformats.org/officeDocument/2006/relationships/hyperlink" Target="http://www.sec.gov/Archives/edgar/data/100378/000143774923022619/ex_557226.htm" TargetMode="External"/><Relationship Id="rId21" Type="http://schemas.openxmlformats.org/officeDocument/2006/relationships/hyperlink" Target="http://www.sec.gov/Archives/edgar/data/100378/000143774924024729/ex_708474.htm" TargetMode="External"/><Relationship Id="rId22" Type="http://schemas.openxmlformats.org/officeDocument/2006/relationships/hyperlink" Target="http://www.sec.gov/Archives/edgar/data/100378/000143774924024729/ex_708475.htm" TargetMode="External"/><Relationship Id="rId23" Type="http://schemas.openxmlformats.org/officeDocument/2006/relationships/hyperlink" Target="http://www.sec.gov/Archives/edgar/data/100378/000143774925026047/ex_850423.htm" TargetMode="External"/><Relationship Id="rId24" Type="http://schemas.openxmlformats.org/officeDocument/2006/relationships/hyperlink" Target="http://www.sec.gov/Archives/edgar/data/100378/000143774925026047/ex_850424.htm" TargetMode="External"/><Relationship Id="rId25" Type="http://schemas.openxmlformats.org/officeDocument/2006/relationships/hyperlink" Target="http://www.sec.gov/Archives/edgar/data/100378/000143774926027029/ex_1001724.htm" TargetMode="External"/><Relationship Id="rId26" Type="http://schemas.openxmlformats.org/officeDocument/2006/relationships/hyperlink" Target="http://www.sec.gov/Archives/edgar/data/100378/000143774926027029/ex_1001723.htm" TargetMode="External"/><Relationship Id="rId27" Type="http://schemas.openxmlformats.org/officeDocument/2006/relationships/hyperlink" Target="http://www.sec.gov/Archives/edgar/data/100378/000010037810000054/r8k08042010ex104.htm" TargetMode="External"/><Relationship Id="rId28" Type="http://schemas.openxmlformats.org/officeDocument/2006/relationships/hyperlink" Target="http://www.sec.gov/Archives/edgar/data/100378/000143774922019413/ex_407746.htm" TargetMode="External"/><Relationship Id="rId29" Type="http://schemas.openxmlformats.org/officeDocument/2006/relationships/hyperlink" Target="http://www.sec.gov/Archives/edgar/data/100378/000010037805000025/r8k705ex105.txt" TargetMode="External"/><Relationship Id="rId30" Type="http://schemas.openxmlformats.org/officeDocument/2006/relationships/hyperlink" Target="http://www.sec.gov/Archives/edgar/data/100378/000143774926022794/ex_984160.htm" TargetMode="External"/><Relationship Id="rId31" Type="http://schemas.openxmlformats.org/officeDocument/2006/relationships/hyperlink" Target="http://www.sec.gov/Archives/edgar/data/100378/000143774926022794/ex_984161.htm" TargetMode="External"/><Relationship Id="rId32" Type="http://schemas.openxmlformats.org/officeDocument/2006/relationships/hyperlink" Target="http://www.sec.gov/Archives/edgar/data/100378/000143774926022794/ex_984162.htm" TargetMode="External"/><Relationship Id="rId33" Type="http://schemas.openxmlformats.org/officeDocument/2006/relationships/hyperlink" Target="http://www.sec.gov/Archives/edgar/data/100378/000143774926022794/ex_984163.htm" TargetMode="External"/><Relationship Id="rId34" Type="http://schemas.openxmlformats.org/officeDocument/2006/relationships/hyperlink" Target="http://www.sec.gov/Archives/edgar/data/100378/000143774926022794/ex_984164.htm" TargetMode="External"/><Relationship Id="rId35" Type="http://schemas.openxmlformats.org/officeDocument/2006/relationships/hyperlink" Target="http://www.sec.gov/Archives/edgar/data/100378/000143774926022794/ex_984165.htm" TargetMode="External"/><Relationship Id="rId36" Type="http://schemas.openxmlformats.org/officeDocument/2006/relationships/hyperlink" Target="http://www.sec.gov/Archives/edgar/data/100378/000143774926022794/ex_984166.htm" TargetMode="External"/><Relationship Id="rId37" Type="http://schemas.openxmlformats.org/officeDocument/2006/relationships/hyperlink" Target="http://www.sec.gov/Archives/edgar/data/100378/000143774926022794/ex_984167.htm" TargetMode="External"/><Relationship Id="rId38" Type="http://schemas.openxmlformats.org/officeDocument/2006/relationships/hyperlink" Target="http://www.sec.gov/Archives/edgar/data/100378/000143774926022794/ex_984168.htm" TargetMode="External"/><Relationship Id="rId39" Type="http://schemas.openxmlformats.org/officeDocument/2006/relationships/hyperlink" Target="http://www.sec.gov/Archives/edgar/data/100378/000143774926022794/ex_984169.htm" TargetMode="External"/><Relationship Id="rId40" Type="http://schemas.openxmlformats.org/officeDocument/2006/relationships/hyperlink" Target="http://www.sec.gov/Archives/edgar/data/100378/000143774926022794/ex_984170.htm" TargetMode="External"/><Relationship Id="rId41" Type="http://schemas.openxmlformats.org/officeDocument/2006/relationships/hyperlink" Target="http://www.sec.gov/Archives/edgar/data/100378/000143774926022794/ex_984171.htm" TargetMode="External"/><Relationship Id="rId42" Type="http://schemas.openxmlformats.org/officeDocument/2006/relationships/image" Target="media/image2.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42607</Words>
  <Characters>234324</Characters>
  <CharactersWithSpaces>282157</CharactersWithSpaces>
  <Paragraphs>16750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