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win20260804_s8pos.htm"/>
      <w:bookmarkStart w:id="1" w:name="kstwin20260804_s8pos"/>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filed with the Securities and Exchange Commission on August 4,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333-249730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POST-EFFECTIVE AMENDMENT NO. 1 TO:</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S-8 Registration Statement No. 333-249730</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u w:val="single"/>
        </w:rPr>
      </w:pPr>
      <w:r>
        <w:rPr>
          <w:rFonts w:ascii="Times New Roman" w:hAnsi="Times New Roman"/>
          <w:b/>
          <w:caps w:val="false"/>
          <w:smallCaps w:val="false"/>
          <w:sz w:val="36"/>
          <w:u w:val="single"/>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480"/>
        <w:gridCol w:w="290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Wisconsin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39-0667110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East Erie Street, Suite 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Milwaukee, Wisconsin 53202</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(262) 638-4000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Twin Disc, Incorporated 2020 Stock Incentive Plan for Non-Employee Directors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S. Knutson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East Erie Street, Suite 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Milwaukee, Wisconsin 53202</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(262) 638-4000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Copy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Kenneth A. Hoogstra, Esq.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von Briesen &amp; Roper, s.c.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411 East Wisconsin Avenue, Suite 1000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Milwaukee, Wisconsin 53202</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(414) 287-1376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045"/>
        <w:gridCol w:w="60"/>
        <w:gridCol w:w="2225"/>
        <w:gridCol w:w="77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7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7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7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Twin Disc, Incorporated, a Wisconsin corporation (the “Company”), is filing this Post-Effective Amendment to the registration statement described below (the “Registration Statement”) filed by the Company with the Securities and Exchange Commission (the “Commission”) to deregister all shares of common stock, no par value (the “Common Stock”) that had been registered for issuance under the Registration Statement and that remain unsold thereunder: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Registration Statement on Form S-8 (No. 333-249730), which was filed with the SEC on October 29, 2020, to register for offer or sale 750,000 shares of Common Stock pursuant to the Twin Disc, Incorporated 2020 Stock Incentive Plan for Non-Employee Directors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undertakings contained in the Registration Statement to remove from registration, by means of a post-effective amendment, any of the securities registered that remain unissued at the termination of the offering, the Company is filing this Post-Effective Amendment to the Registration Statement to deregister, and does hereby remove from registration, all remaining shares of Common Stock that had been registered under the Registration Statement that remain unissued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to Form S-8 Registration Statement to be signed on its behalf by the undersigned, thereunto duly authorized, in the City of Milwaukee, State of Wisconsin, on August 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6"/>
        <w:gridCol w:w="370"/>
        <w:gridCol w:w="3896"/>
        <w:gridCol w:w="1163"/>
      </w:tblGrid>
      <w:tr>
        <w:trPr/>
        <w:tc>
          <w:tcPr>
            <w:tcW w:w="4776" w:type="dxa"/>
            <w:tcBorders/>
          </w:tcPr>
          <w:p>
            <w:pPr>
              <w:pStyle w:val="TableContents"/>
              <w:bidi w:val="0"/>
              <w:spacing w:before="0" w:after="0"/>
              <w:ind w:left="0" w:right="0" w:hanging="0"/>
              <w:jc w:val="left"/>
              <w:rPr/>
            </w:pPr>
            <w:r>
              <w:rPr/>
              <w:t> </w:t>
            </w:r>
          </w:p>
        </w:tc>
        <w:tc>
          <w:tcPr>
            <w:tcW w:w="4266"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TWIN DISC, INCORPORATED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c>
          <w:tcPr>
            <w:tcW w:w="1163" w:type="dxa"/>
            <w:tcBorders/>
          </w:tcPr>
          <w:p>
            <w:pPr>
              <w:pStyle w:val="TableContents"/>
              <w:bidi w:val="0"/>
              <w:spacing w:before="0" w:after="0"/>
              <w:ind w:left="0" w:right="0" w:hanging="0"/>
              <w:jc w:val="left"/>
              <w:rPr/>
            </w:pPr>
            <w:r>
              <w:rPr/>
              <w:t> </w:t>
            </w:r>
          </w:p>
        </w:tc>
      </w:tr>
      <w:tr>
        <w:trPr/>
        <w:tc>
          <w:tcPr>
            <w:tcW w:w="4776" w:type="dxa"/>
            <w:tcBorders/>
          </w:tcPr>
          <w:p>
            <w:pPr>
              <w:pStyle w:val="TableContents"/>
              <w:bidi w:val="0"/>
              <w:spacing w:before="0" w:after="0"/>
              <w:ind w:left="0" w:right="0" w:hanging="0"/>
              <w:jc w:val="left"/>
              <w:rPr/>
            </w:pPr>
            <w:r>
              <w:rPr/>
              <w:t> </w:t>
            </w:r>
          </w:p>
        </w:tc>
        <w:tc>
          <w:tcPr>
            <w:tcW w:w="370" w:type="dxa"/>
            <w:tcBorders/>
          </w:tcPr>
          <w:p>
            <w:pPr>
              <w:pStyle w:val="TableContents"/>
              <w:bidi w:val="0"/>
              <w:spacing w:before="0" w:after="0"/>
              <w:ind w:left="0" w:right="0" w:hanging="0"/>
              <w:jc w:val="left"/>
              <w:rPr/>
            </w:pPr>
            <w:r>
              <w:rPr/>
              <w:t> </w:t>
            </w:r>
          </w:p>
        </w:tc>
        <w:tc>
          <w:tcPr>
            <w:tcW w:w="3896" w:type="dxa"/>
            <w:tcBorders/>
          </w:tcPr>
          <w:p>
            <w:pPr>
              <w:pStyle w:val="TableContents"/>
              <w:bidi w:val="0"/>
              <w:spacing w:before="0" w:after="0"/>
              <w:ind w:left="0" w:right="0" w:hanging="0"/>
              <w:jc w:val="left"/>
              <w:rPr/>
            </w:pPr>
            <w:r>
              <w:rPr/>
              <w:t> </w:t>
            </w:r>
          </w:p>
        </w:tc>
        <w:tc>
          <w:tcPr>
            <w:tcW w:w="1163" w:type="dxa"/>
            <w:tcBorders/>
          </w:tcPr>
          <w:p>
            <w:pPr>
              <w:pStyle w:val="TableContents"/>
              <w:bidi w:val="0"/>
              <w:spacing w:before="0" w:after="0"/>
              <w:ind w:left="0" w:right="0" w:hanging="0"/>
              <w:jc w:val="left"/>
              <w:rPr/>
            </w:pPr>
            <w:r>
              <w:rPr/>
              <w:t> </w:t>
            </w:r>
          </w:p>
        </w:tc>
      </w:tr>
      <w:tr>
        <w:trPr/>
        <w:tc>
          <w:tcPr>
            <w:tcW w:w="4776" w:type="dxa"/>
            <w:tcBorders/>
          </w:tcPr>
          <w:p>
            <w:pPr>
              <w:pStyle w:val="TableContents"/>
              <w:bidi w:val="0"/>
              <w:spacing w:before="0" w:after="0"/>
              <w:ind w:left="0" w:right="0" w:hanging="0"/>
              <w:jc w:val="left"/>
              <w:rPr/>
            </w:pPr>
            <w:r>
              <w:rPr/>
              <w:t> </w:t>
            </w:r>
          </w:p>
        </w:tc>
        <w:tc>
          <w:tcPr>
            <w:tcW w:w="370" w:type="dxa"/>
            <w:tcBorders/>
          </w:tcPr>
          <w:p>
            <w:pPr>
              <w:pStyle w:val="TableContents"/>
              <w:bidi w:val="0"/>
              <w:spacing w:before="0" w:after="0"/>
              <w:ind w:left="0" w:right="0" w:hanging="0"/>
              <w:jc w:val="left"/>
              <w:rPr/>
            </w:pPr>
            <w:r>
              <w:rPr/>
              <w:t> </w:t>
            </w:r>
          </w:p>
        </w:tc>
        <w:tc>
          <w:tcPr>
            <w:tcW w:w="3896" w:type="dxa"/>
            <w:tcBorders/>
            <w:vAlign w:val="bottom"/>
          </w:tcPr>
          <w:p>
            <w:pPr>
              <w:pStyle w:val="TableContents"/>
              <w:bidi w:val="0"/>
              <w:spacing w:before="0" w:after="0"/>
              <w:ind w:left="0" w:right="0" w:hanging="0"/>
              <w:jc w:val="left"/>
              <w:rPr/>
            </w:pPr>
            <w:r>
              <w:rPr/>
              <w:t> </w:t>
            </w:r>
          </w:p>
        </w:tc>
        <w:tc>
          <w:tcPr>
            <w:tcW w:w="1163" w:type="dxa"/>
            <w:tcBorders/>
          </w:tcPr>
          <w:p>
            <w:pPr>
              <w:pStyle w:val="TableContents"/>
              <w:bidi w:val="0"/>
              <w:spacing w:before="0" w:after="0"/>
              <w:ind w:left="0" w:right="0" w:hanging="0"/>
              <w:jc w:val="left"/>
              <w:rPr/>
            </w:pPr>
            <w:r>
              <w:rPr/>
              <w:t> </w:t>
            </w:r>
          </w:p>
        </w:tc>
      </w:tr>
      <w:tr>
        <w:trPr/>
        <w:tc>
          <w:tcPr>
            <w:tcW w:w="4776" w:type="dxa"/>
            <w:tcBorders/>
          </w:tcPr>
          <w:p>
            <w:pPr>
              <w:pStyle w:val="TableContents"/>
              <w:bidi w:val="0"/>
              <w:spacing w:before="0" w:after="0"/>
              <w:ind w:left="0" w:right="0" w:hanging="0"/>
              <w:jc w:val="left"/>
              <w:rPr/>
            </w:pPr>
            <w:r>
              <w:rPr/>
              <w:t> </w:t>
            </w:r>
          </w:p>
        </w:tc>
        <w:tc>
          <w:tcPr>
            <w:tcW w:w="37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96"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Knutson</w:t>
            </w:r>
          </w:p>
        </w:tc>
        <w:tc>
          <w:tcPr>
            <w:tcW w:w="1163" w:type="dxa"/>
            <w:tcBorders>
              <w:bottom w:val="single" w:sz="2" w:space="0" w:color="000000"/>
            </w:tcBorders>
            <w:tcMar>
              <w:bottom w:w="28" w:type="dxa"/>
            </w:tcMar>
          </w:tcPr>
          <w:p>
            <w:pPr>
              <w:pStyle w:val="TableContents"/>
              <w:bidi w:val="0"/>
              <w:spacing w:before="0" w:after="0"/>
              <w:ind w:left="0" w:right="0" w:hanging="0"/>
              <w:jc w:val="left"/>
              <w:rPr/>
            </w:pPr>
            <w:r>
              <w:rPr/>
              <w:t> </w:t>
            </w:r>
          </w:p>
        </w:tc>
      </w:tr>
      <w:tr>
        <w:trPr/>
        <w:tc>
          <w:tcPr>
            <w:tcW w:w="4776" w:type="dxa"/>
            <w:tcBorders/>
          </w:tcPr>
          <w:p>
            <w:pPr>
              <w:pStyle w:val="TableContents"/>
              <w:bidi w:val="0"/>
              <w:spacing w:before="0" w:after="0"/>
              <w:ind w:left="0" w:right="0" w:hanging="0"/>
              <w:jc w:val="left"/>
              <w:rPr/>
            </w:pPr>
            <w:r>
              <w:rPr/>
              <w:t> </w:t>
            </w:r>
          </w:p>
        </w:tc>
        <w:tc>
          <w:tcPr>
            <w:tcW w:w="370" w:type="dxa"/>
            <w:tcBorders/>
          </w:tcPr>
          <w:p>
            <w:pPr>
              <w:pStyle w:val="TableContents"/>
              <w:bidi w:val="0"/>
              <w:spacing w:before="0" w:after="0"/>
              <w:ind w:left="0" w:right="0" w:hanging="0"/>
              <w:jc w:val="left"/>
              <w:rPr/>
            </w:pPr>
            <w:r>
              <w:rPr/>
              <w:t> </w:t>
            </w:r>
          </w:p>
        </w:tc>
        <w:tc>
          <w:tcPr>
            <w:tcW w:w="3896"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Jeffrey S. Knutson</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1163"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other person is required to sign this Post-Effective Amendment to the Registration Statement in reliance upon Rule 478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566</Words>
  <Characters>3259</Characters>
  <CharactersWithSpaces>3835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