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BATTEN JOHN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TWIN DISC,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EAST ERIE ST.,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TWIN DISC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1"/>
        <w:gridCol w:w="900"/>
        <w:gridCol w:w="772"/>
        <w:gridCol w:w="597"/>
        <w:gridCol w:w="335"/>
        <w:gridCol w:w="897"/>
        <w:gridCol w:w="419"/>
        <w:gridCol w:w="829"/>
        <w:gridCol w:w="1327"/>
        <w:gridCol w:w="953"/>
        <w:gridCol w:w="9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15,479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23.336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459,955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78,693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538,648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36,986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501,662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18,756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520,418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2,457.2354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160,019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201,156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115,456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114,976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106,744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obligations in connection with the vesting of restricted stock granted to the Reporting Person pursuant to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of Performance Stock for no cash consideration pursuant to the Twin Disc, Incorporated 2021 Long-Term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of common stock withheld by the issuer to satisfy tax obligations in connection with the vesting of performance stock granted to the Reporting Person pursuant to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of Restricted Stock for no cash consideration pursuant to the Twin Disc, Incorporated 2021 Omnibus Incentive Plan. Grant will vest 100% on 8/5/2029.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As trustee of Michael E. Batten Marital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As trustee of Michael E. Batten Family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As trustee of Elizabeth Batten Stribney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As trustee of Timothy Michael Batten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As trustee of Louise Vemet Batten Grantor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H. Batten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6982" TargetMode="External"/><Relationship Id="rId5" Type="http://schemas.openxmlformats.org/officeDocument/2006/relationships/hyperlink" Target="http://www.sec.gov/cgi-bin/browse-edgar?action=getcompany&amp;CIK=0000100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780</Words>
  <Characters>4191</Characters>
  <CharactersWithSpaces>4847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