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1235075" cy="5575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235075" cy="557530"/>
                    </a:xfrm>
                    <a:prstGeom prst="rect">
                      <a:avLst/>
                    </a:prstGeom>
                    <a:noFill/>
                  </pic:spPr>
                </pic:pic>
              </a:graphicData>
            </a:graphic>
          </wp:anchor>
        </w:drawing>
        <w:t>SECURITIES AND EXCHANGE COMMISSION</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5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Current Report Pursuant to Section 13 or 15(d) of</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The Securities Exchange Act of 1934</w:t>
      </w:r>
    </w:p>
    <w:p>
      <w:pPr>
        <w:spacing w:after="0" w:line="200" w:lineRule="exact"/>
        <w:rPr>
          <w:sz w:val="24"/>
          <w:szCs w:val="24"/>
          <w:color w:val="auto"/>
        </w:rPr>
      </w:pPr>
    </w:p>
    <w:p>
      <w:pPr>
        <w:spacing w:after="0" w:line="27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u w:val="single" w:color="auto"/>
          <w:color w:val="auto"/>
        </w:rPr>
        <w:t>June 17, 2010</w:t>
      </w:r>
    </w:p>
    <w:p>
      <w:pPr>
        <w:spacing w:after="0" w:line="200" w:lineRule="exact"/>
        <w:rPr>
          <w:sz w:val="24"/>
          <w:szCs w:val="24"/>
          <w:color w:val="auto"/>
        </w:rPr>
      </w:pPr>
    </w:p>
    <w:p>
      <w:pPr>
        <w:spacing w:after="0" w:line="295"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TWIN DISC, INCORPORATED</w:t>
      </w:r>
    </w:p>
    <w:p>
      <w:pPr>
        <w:spacing w:after="0" w:line="25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78" w:lineRule="exact"/>
        <w:rPr>
          <w:sz w:val="24"/>
          <w:szCs w:val="24"/>
          <w:color w:val="auto"/>
        </w:rPr>
      </w:pPr>
    </w:p>
    <w:tbl>
      <w:tblPr>
        <w:tblLayout w:type="fixed"/>
        <w:tblInd w:w="440" w:type="dxa"/>
        <w:tblCellMar>
          <w:top w:w="0" w:type="dxa"/>
          <w:left w:w="0" w:type="dxa"/>
          <w:bottom w:w="0" w:type="dxa"/>
          <w:right w:w="0" w:type="dxa"/>
        </w:tblCellMar>
      </w:tblPr>
      <w:tr>
        <w:trPr>
          <w:trHeight w:val="207"/>
        </w:trPr>
        <w:tc>
          <w:tcPr>
            <w:tcW w:w="1680" w:type="dxa"/>
            <w:vAlign w:val="bottom"/>
          </w:tcPr>
          <w:p>
            <w:pPr>
              <w:spacing w:after="0"/>
              <w:rPr>
                <w:sz w:val="17"/>
                <w:szCs w:val="17"/>
                <w:color w:val="auto"/>
              </w:rPr>
            </w:pPr>
          </w:p>
        </w:tc>
        <w:tc>
          <w:tcPr>
            <w:tcW w:w="1060" w:type="dxa"/>
            <w:vAlign w:val="bottom"/>
            <w:gridSpan w:val="2"/>
          </w:tcPr>
          <w:p>
            <w:pPr>
              <w:jc w:val="center"/>
              <w:spacing w:after="0"/>
              <w:rPr>
                <w:sz w:val="20"/>
                <w:szCs w:val="20"/>
                <w:color w:val="auto"/>
              </w:rPr>
            </w:pPr>
            <w:r>
              <w:rPr>
                <w:rFonts w:ascii="Arial" w:cs="Arial" w:eastAsia="Arial" w:hAnsi="Arial"/>
                <w:sz w:val="18"/>
                <w:szCs w:val="18"/>
                <w:b w:val="1"/>
                <w:bCs w:val="1"/>
                <w:color w:val="auto"/>
              </w:rPr>
              <w:t>WISCONSIN</w:t>
            </w:r>
          </w:p>
        </w:tc>
        <w:tc>
          <w:tcPr>
            <w:tcW w:w="1040" w:type="dxa"/>
            <w:vAlign w:val="bottom"/>
            <w:gridSpan w:val="2"/>
          </w:tcPr>
          <w:p>
            <w:pPr>
              <w:spacing w:after="0"/>
              <w:rPr>
                <w:sz w:val="17"/>
                <w:szCs w:val="17"/>
                <w:color w:val="auto"/>
              </w:rPr>
            </w:pPr>
          </w:p>
        </w:tc>
        <w:tc>
          <w:tcPr>
            <w:tcW w:w="2700" w:type="dxa"/>
            <w:vAlign w:val="bottom"/>
            <w:gridSpan w:val="3"/>
          </w:tcPr>
          <w:p>
            <w:pPr>
              <w:jc w:val="center"/>
              <w:ind w:left="1770"/>
              <w:spacing w:after="0"/>
              <w:rPr>
                <w:sz w:val="20"/>
                <w:szCs w:val="20"/>
                <w:color w:val="auto"/>
              </w:rPr>
            </w:pPr>
            <w:r>
              <w:rPr>
                <w:rFonts w:ascii="Arial" w:cs="Arial" w:eastAsia="Arial" w:hAnsi="Arial"/>
                <w:sz w:val="18"/>
                <w:szCs w:val="18"/>
                <w:b w:val="1"/>
                <w:bCs w:val="1"/>
                <w:color w:val="auto"/>
                <w:w w:val="89"/>
              </w:rPr>
              <w:t>001-7635</w:t>
            </w:r>
          </w:p>
        </w:tc>
        <w:tc>
          <w:tcPr>
            <w:tcW w:w="1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40" w:type="dxa"/>
            <w:vAlign w:val="bottom"/>
            <w:gridSpan w:val="4"/>
          </w:tcPr>
          <w:p>
            <w:pPr>
              <w:jc w:val="center"/>
              <w:ind w:right="720"/>
              <w:spacing w:after="0"/>
              <w:rPr>
                <w:sz w:val="20"/>
                <w:szCs w:val="20"/>
                <w:color w:val="auto"/>
              </w:rPr>
            </w:pPr>
            <w:r>
              <w:rPr>
                <w:rFonts w:ascii="Arial" w:cs="Arial" w:eastAsia="Arial" w:hAnsi="Arial"/>
                <w:sz w:val="18"/>
                <w:szCs w:val="18"/>
                <w:b w:val="1"/>
                <w:bCs w:val="1"/>
                <w:color w:val="auto"/>
                <w:w w:val="89"/>
              </w:rPr>
              <w:t>39-0667110</w:t>
            </w:r>
          </w:p>
        </w:tc>
      </w:tr>
      <w:tr>
        <w:trPr>
          <w:trHeight w:val="20"/>
        </w:trPr>
        <w:tc>
          <w:tcPr>
            <w:tcW w:w="16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22"/>
        </w:trPr>
        <w:tc>
          <w:tcPr>
            <w:tcW w:w="3780" w:type="dxa"/>
            <w:vAlign w:val="bottom"/>
            <w:gridSpan w:val="5"/>
          </w:tcPr>
          <w:p>
            <w:pPr>
              <w:jc w:val="center"/>
              <w:ind w:left="550"/>
              <w:spacing w:after="0"/>
              <w:rPr>
                <w:sz w:val="20"/>
                <w:szCs w:val="20"/>
                <w:color w:val="auto"/>
              </w:rPr>
            </w:pPr>
            <w:r>
              <w:rPr>
                <w:rFonts w:ascii="Arial" w:cs="Arial" w:eastAsia="Arial" w:hAnsi="Arial"/>
                <w:sz w:val="18"/>
                <w:szCs w:val="18"/>
                <w:color w:val="auto"/>
                <w:w w:val="92"/>
              </w:rPr>
              <w:t>(State or other jurisdiction</w:t>
            </w:r>
          </w:p>
        </w:tc>
        <w:tc>
          <w:tcPr>
            <w:tcW w:w="4640" w:type="dxa"/>
            <w:vAlign w:val="bottom"/>
            <w:gridSpan w:val="5"/>
          </w:tcPr>
          <w:p>
            <w:pPr>
              <w:jc w:val="center"/>
              <w:ind w:right="80"/>
              <w:spacing w:after="0"/>
              <w:rPr>
                <w:sz w:val="20"/>
                <w:szCs w:val="20"/>
                <w:color w:val="auto"/>
              </w:rPr>
            </w:pPr>
            <w:r>
              <w:rPr>
                <w:rFonts w:ascii="Arial" w:cs="Arial" w:eastAsia="Arial" w:hAnsi="Arial"/>
                <w:sz w:val="18"/>
                <w:szCs w:val="18"/>
                <w:color w:val="auto"/>
                <w:w w:val="91"/>
              </w:rPr>
              <w:t>(Commission</w:t>
            </w:r>
          </w:p>
        </w:tc>
        <w:tc>
          <w:tcPr>
            <w:tcW w:w="2140" w:type="dxa"/>
            <w:vAlign w:val="bottom"/>
            <w:gridSpan w:val="4"/>
          </w:tcPr>
          <w:p>
            <w:pPr>
              <w:jc w:val="center"/>
              <w:ind w:right="720"/>
              <w:spacing w:after="0"/>
              <w:rPr>
                <w:sz w:val="20"/>
                <w:szCs w:val="20"/>
                <w:color w:val="auto"/>
              </w:rPr>
            </w:pPr>
            <w:r>
              <w:rPr>
                <w:rFonts w:ascii="Arial" w:cs="Arial" w:eastAsia="Arial" w:hAnsi="Arial"/>
                <w:sz w:val="18"/>
                <w:szCs w:val="18"/>
                <w:color w:val="auto"/>
                <w:w w:val="93"/>
              </w:rPr>
              <w:t>(IRS Employer</w:t>
            </w:r>
          </w:p>
        </w:tc>
      </w:tr>
      <w:tr>
        <w:trPr>
          <w:trHeight w:val="230"/>
        </w:trPr>
        <w:tc>
          <w:tcPr>
            <w:tcW w:w="3780" w:type="dxa"/>
            <w:vAlign w:val="bottom"/>
            <w:gridSpan w:val="5"/>
          </w:tcPr>
          <w:p>
            <w:pPr>
              <w:jc w:val="center"/>
              <w:ind w:left="550"/>
              <w:spacing w:after="0"/>
              <w:rPr>
                <w:sz w:val="20"/>
                <w:szCs w:val="20"/>
                <w:color w:val="auto"/>
              </w:rPr>
            </w:pPr>
            <w:r>
              <w:rPr>
                <w:rFonts w:ascii="Arial" w:cs="Arial" w:eastAsia="Arial" w:hAnsi="Arial"/>
                <w:sz w:val="18"/>
                <w:szCs w:val="18"/>
                <w:color w:val="auto"/>
                <w:w w:val="93"/>
              </w:rPr>
              <w:t>of incorporation)</w:t>
            </w:r>
          </w:p>
        </w:tc>
        <w:tc>
          <w:tcPr>
            <w:tcW w:w="4640" w:type="dxa"/>
            <w:vAlign w:val="bottom"/>
            <w:gridSpan w:val="5"/>
          </w:tcPr>
          <w:p>
            <w:pPr>
              <w:jc w:val="center"/>
              <w:ind w:right="100"/>
              <w:spacing w:after="0"/>
              <w:rPr>
                <w:sz w:val="20"/>
                <w:szCs w:val="20"/>
                <w:color w:val="auto"/>
              </w:rPr>
            </w:pPr>
            <w:r>
              <w:rPr>
                <w:rFonts w:ascii="Arial" w:cs="Arial" w:eastAsia="Arial" w:hAnsi="Arial"/>
                <w:sz w:val="18"/>
                <w:szCs w:val="18"/>
                <w:color w:val="auto"/>
                <w:w w:val="94"/>
              </w:rPr>
              <w:t>File Number)</w:t>
            </w:r>
          </w:p>
        </w:tc>
        <w:tc>
          <w:tcPr>
            <w:tcW w:w="2140" w:type="dxa"/>
            <w:vAlign w:val="bottom"/>
            <w:gridSpan w:val="4"/>
          </w:tcPr>
          <w:p>
            <w:pPr>
              <w:jc w:val="center"/>
              <w:ind w:right="720"/>
              <w:spacing w:after="0"/>
              <w:rPr>
                <w:sz w:val="20"/>
                <w:szCs w:val="20"/>
                <w:color w:val="auto"/>
              </w:rPr>
            </w:pPr>
            <w:r>
              <w:rPr>
                <w:rFonts w:ascii="Arial" w:cs="Arial" w:eastAsia="Arial" w:hAnsi="Arial"/>
                <w:sz w:val="18"/>
                <w:szCs w:val="18"/>
                <w:color w:val="auto"/>
                <w:w w:val="95"/>
              </w:rPr>
              <w:t>Identification No.)</w:t>
            </w:r>
          </w:p>
        </w:tc>
      </w:tr>
      <w:tr>
        <w:trPr>
          <w:trHeight w:val="905"/>
        </w:trPr>
        <w:tc>
          <w:tcPr>
            <w:tcW w:w="1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20" w:type="dxa"/>
            <w:vAlign w:val="bottom"/>
            <w:gridSpan w:val="3"/>
          </w:tcPr>
          <w:p>
            <w:pPr>
              <w:spacing w:after="0"/>
              <w:rPr>
                <w:sz w:val="20"/>
                <w:szCs w:val="20"/>
                <w:color w:val="auto"/>
              </w:rPr>
            </w:pPr>
            <w:r>
              <w:rPr>
                <w:rFonts w:ascii="Arial" w:cs="Arial" w:eastAsia="Arial" w:hAnsi="Arial"/>
                <w:sz w:val="18"/>
                <w:szCs w:val="18"/>
                <w:b w:val="1"/>
                <w:bCs w:val="1"/>
                <w:color w:val="auto"/>
                <w:w w:val="99"/>
              </w:rPr>
              <w:t>1328 Racine Street</w:t>
            </w:r>
          </w:p>
        </w:tc>
        <w:tc>
          <w:tcPr>
            <w:tcW w:w="1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40" w:type="dxa"/>
            <w:vAlign w:val="bottom"/>
            <w:gridSpan w:val="2"/>
          </w:tcPr>
          <w:p>
            <w:pPr>
              <w:spacing w:after="0"/>
              <w:rPr>
                <w:sz w:val="20"/>
                <w:szCs w:val="20"/>
                <w:color w:val="auto"/>
              </w:rPr>
            </w:pPr>
            <w:r>
              <w:rPr>
                <w:rFonts w:ascii="Arial" w:cs="Arial" w:eastAsia="Arial" w:hAnsi="Arial"/>
                <w:sz w:val="18"/>
                <w:szCs w:val="18"/>
                <w:b w:val="1"/>
                <w:bCs w:val="1"/>
                <w:color w:val="auto"/>
                <w:w w:val="89"/>
              </w:rPr>
              <w:t>Racine, Wisconsin 53403</w:t>
            </w: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
        </w:trPr>
        <w:tc>
          <w:tcPr>
            <w:tcW w:w="1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00" w:type="dxa"/>
            <w:vAlign w:val="bottom"/>
            <w:gridSpan w:val="3"/>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480"/>
        </w:trPr>
        <w:tc>
          <w:tcPr>
            <w:tcW w:w="1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40" w:type="dxa"/>
            <w:vAlign w:val="bottom"/>
            <w:gridSpan w:val="5"/>
          </w:tcPr>
          <w:p>
            <w:pPr>
              <w:ind w:left="60"/>
              <w:spacing w:after="0"/>
              <w:rPr>
                <w:sz w:val="20"/>
                <w:szCs w:val="20"/>
                <w:color w:val="auto"/>
              </w:rPr>
            </w:pPr>
            <w:r>
              <w:rPr>
                <w:rFonts w:ascii="Arial" w:cs="Arial" w:eastAsia="Arial" w:hAnsi="Arial"/>
                <w:sz w:val="18"/>
                <w:szCs w:val="18"/>
                <w:color w:val="auto"/>
              </w:rPr>
              <w:t>(Address of principal executive offices)</w:t>
            </w: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19"/>
        </w:trPr>
        <w:tc>
          <w:tcPr>
            <w:tcW w:w="3780" w:type="dxa"/>
            <w:vAlign w:val="bottom"/>
            <w:gridSpan w:val="5"/>
          </w:tcPr>
          <w:p>
            <w:pPr>
              <w:spacing w:after="0"/>
              <w:rPr>
                <w:sz w:val="20"/>
                <w:szCs w:val="20"/>
                <w:color w:val="auto"/>
              </w:rPr>
            </w:pPr>
            <w:r>
              <w:rPr>
                <w:rFonts w:ascii="Arial" w:cs="Arial" w:eastAsia="Arial" w:hAnsi="Arial"/>
                <w:sz w:val="18"/>
                <w:szCs w:val="18"/>
                <w:color w:val="auto"/>
                <w:w w:val="90"/>
              </w:rPr>
              <w:t>Registrant's telephone number, including area code:</w:t>
            </w:r>
          </w:p>
        </w:tc>
        <w:tc>
          <w:tcPr>
            <w:tcW w:w="1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40" w:type="dxa"/>
            <w:vAlign w:val="bottom"/>
            <w:gridSpan w:val="4"/>
          </w:tcPr>
          <w:p>
            <w:pPr>
              <w:jc w:val="right"/>
              <w:spacing w:after="0"/>
              <w:rPr>
                <w:sz w:val="20"/>
                <w:szCs w:val="20"/>
                <w:color w:val="auto"/>
              </w:rPr>
            </w:pPr>
            <w:r>
              <w:rPr>
                <w:rFonts w:ascii="Arial" w:cs="Arial" w:eastAsia="Arial" w:hAnsi="Arial"/>
                <w:sz w:val="18"/>
                <w:szCs w:val="18"/>
                <w:b w:val="1"/>
                <w:bCs w:val="1"/>
                <w:color w:val="auto"/>
              </w:rPr>
              <w:t>(262)</w:t>
            </w:r>
            <w:r>
              <w:rPr>
                <w:rFonts w:ascii="Arial" w:cs="Arial" w:eastAsia="Arial" w:hAnsi="Arial"/>
                <w:sz w:val="18"/>
                <w:szCs w:val="18"/>
                <w:b w:val="1"/>
                <w:bCs w:val="1"/>
                <w:u w:val="single" w:color="auto"/>
                <w:color w:val="auto"/>
              </w:rPr>
              <w:t>638</w:t>
            </w:r>
            <w:r>
              <w:rPr>
                <w:rFonts w:ascii="Arial" w:cs="Arial" w:eastAsia="Arial" w:hAnsi="Arial"/>
                <w:sz w:val="18"/>
                <w:szCs w:val="18"/>
                <w:b w:val="1"/>
                <w:bCs w:val="1"/>
                <w:color w:val="auto"/>
              </w:rPr>
              <w:t>-4000</w:t>
            </w:r>
          </w:p>
        </w:tc>
      </w:tr>
      <w:tr>
        <w:trPr>
          <w:trHeight w:val="20"/>
        </w:trPr>
        <w:tc>
          <w:tcPr>
            <w:tcW w:w="1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Written communications pursuant to Rule 425 under the Securities Act (17 CFR 230.425)</w:t>
      </w:r>
    </w:p>
    <w:p>
      <w:pPr>
        <w:spacing w:after="0" w:line="252"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Soliciting material pursuant to Rule 14a-12 under the Exchange Act (17 CFR 240.14a-12)</w:t>
      </w:r>
    </w:p>
    <w:p>
      <w:pPr>
        <w:spacing w:after="0" w:line="252"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14d-2(b) under the Exchange Act (17 CFR 240.14d-2(b))</w:t>
      </w:r>
    </w:p>
    <w:p>
      <w:pPr>
        <w:spacing w:after="0" w:line="252"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Item 5.02</w:t>
            </w:r>
          </w:p>
        </w:tc>
        <w:tc>
          <w:tcPr>
            <w:tcW w:w="10100" w:type="dxa"/>
            <w:vAlign w:val="bottom"/>
          </w:tcPr>
          <w:p>
            <w:pPr>
              <w:ind w:left="640"/>
              <w:spacing w:after="0"/>
              <w:rPr>
                <w:sz w:val="20"/>
                <w:szCs w:val="20"/>
                <w:color w:val="auto"/>
              </w:rPr>
            </w:pPr>
            <w:r>
              <w:rPr>
                <w:rFonts w:ascii="Arial" w:cs="Arial" w:eastAsia="Arial" w:hAnsi="Arial"/>
                <w:sz w:val="18"/>
                <w:szCs w:val="18"/>
                <w:color w:val="auto"/>
                <w:w w:val="93"/>
              </w:rPr>
              <w:t>Departure of Directors or Certain Officers; Election of Directors; Appointment of Certain Officers; Compensatory Arrangements</w:t>
            </w:r>
          </w:p>
        </w:tc>
      </w:tr>
      <w:tr>
        <w:trPr>
          <w:trHeight w:val="230"/>
        </w:trPr>
        <w:tc>
          <w:tcPr>
            <w:tcW w:w="1320" w:type="dxa"/>
            <w:vAlign w:val="bottom"/>
          </w:tcPr>
          <w:p>
            <w:pPr>
              <w:spacing w:after="0"/>
              <w:rPr>
                <w:sz w:val="20"/>
                <w:szCs w:val="20"/>
                <w:color w:val="auto"/>
              </w:rPr>
            </w:pPr>
          </w:p>
        </w:tc>
        <w:tc>
          <w:tcPr>
            <w:tcW w:w="10100" w:type="dxa"/>
            <w:vAlign w:val="bottom"/>
          </w:tcPr>
          <w:p>
            <w:pPr>
              <w:ind w:left="640"/>
              <w:spacing w:after="0"/>
              <w:rPr>
                <w:sz w:val="20"/>
                <w:szCs w:val="20"/>
                <w:color w:val="auto"/>
              </w:rPr>
            </w:pPr>
            <w:r>
              <w:rPr>
                <w:rFonts w:ascii="Arial" w:cs="Arial" w:eastAsia="Arial" w:hAnsi="Arial"/>
                <w:sz w:val="18"/>
                <w:szCs w:val="18"/>
                <w:color w:val="auto"/>
              </w:rPr>
              <w:t>of Certain Officers</w:t>
            </w:r>
          </w:p>
        </w:tc>
      </w:tr>
      <w:tr>
        <w:trPr>
          <w:trHeight w:val="648"/>
        </w:trPr>
        <w:tc>
          <w:tcPr>
            <w:tcW w:w="1320" w:type="dxa"/>
            <w:vAlign w:val="bottom"/>
            <w:tcBorders>
              <w:bottom w:val="single" w:sz="8" w:color="808080"/>
            </w:tcBorders>
          </w:tcPr>
          <w:p>
            <w:pPr>
              <w:spacing w:after="0"/>
              <w:rPr>
                <w:sz w:val="24"/>
                <w:szCs w:val="24"/>
                <w:color w:val="auto"/>
              </w:rPr>
            </w:pPr>
          </w:p>
        </w:tc>
        <w:tc>
          <w:tcPr>
            <w:tcW w:w="10100" w:type="dxa"/>
            <w:vAlign w:val="bottom"/>
            <w:tcBorders>
              <w:bottom w:val="single" w:sz="8" w:color="808080"/>
            </w:tcBorders>
          </w:tcPr>
          <w:p>
            <w:pPr>
              <w:spacing w:after="0"/>
              <w:rPr>
                <w:sz w:val="24"/>
                <w:szCs w:val="24"/>
                <w:color w:val="auto"/>
              </w:rPr>
            </w:pPr>
          </w:p>
        </w:tc>
      </w:tr>
    </w:tbl>
    <w:p>
      <w:pPr>
        <w:sectPr>
          <w:pgSz w:w="11900" w:h="16838" w:orient="portrait"/>
          <w:cols w:equalWidth="0" w:num="1">
            <w:col w:w="11420"/>
          </w:cols>
          <w:pgMar w:left="240" w:top="1408" w:right="239" w:bottom="1440" w:gutter="0" w:footer="0" w:header="0"/>
        </w:sectPr>
      </w:pPr>
    </w:p>
    <w:bookmarkStart w:id="1" w:name="page2"/>
    <w:bookmarkEnd w:id="1"/>
    <w:p>
      <w:pPr>
        <w:ind w:firstLine="648"/>
        <w:spacing w:after="0" w:line="257" w:lineRule="auto"/>
        <w:rPr>
          <w:sz w:val="20"/>
          <w:szCs w:val="20"/>
          <w:color w:val="auto"/>
        </w:rPr>
      </w:pPr>
      <w:r>
        <w:rPr>
          <w:rFonts w:ascii="Arial" w:cs="Arial" w:eastAsia="Arial" w:hAnsi="Arial"/>
          <w:sz w:val="18"/>
          <w:szCs w:val="18"/>
          <w:color w:val="auto"/>
        </w:rPr>
        <w:t>On June 17, 2010, the Compensation Committee of the Board of Directors of Twin Disc, Incorporated (the “Company”) approved increases to the annual base salaries of the Company’s executive officers, including the Company’s named executive officers, effective for payroll periods beginning the week of June 27, 2010. The increases are intended to restore the base salaries of the Company’s executive officers to the levels they were receiving prior to across-the-board decreases in salaries that were put in place on July 1, 2009. The current annual base salaries, the new base salaries and the percentage increases in base salaries for the named executive officers are as follows: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Name and Position</w:t>
            </w:r>
          </w:p>
        </w:tc>
        <w:tc>
          <w:tcPr>
            <w:tcW w:w="3020" w:type="dxa"/>
            <w:vAlign w:val="bottom"/>
          </w:tcPr>
          <w:p>
            <w:pPr>
              <w:ind w:left="1380"/>
              <w:spacing w:after="0"/>
              <w:rPr>
                <w:sz w:val="20"/>
                <w:szCs w:val="20"/>
                <w:color w:val="auto"/>
              </w:rPr>
            </w:pPr>
            <w:r>
              <w:rPr>
                <w:rFonts w:ascii="Arial" w:cs="Arial" w:eastAsia="Arial" w:hAnsi="Arial"/>
                <w:sz w:val="18"/>
                <w:szCs w:val="18"/>
                <w:color w:val="auto"/>
              </w:rPr>
              <w:t>Existing</w:t>
            </w:r>
          </w:p>
        </w:tc>
        <w:tc>
          <w:tcPr>
            <w:tcW w:w="2420" w:type="dxa"/>
            <w:vAlign w:val="bottom"/>
          </w:tcPr>
          <w:p>
            <w:pPr>
              <w:ind w:left="780"/>
              <w:spacing w:after="0"/>
              <w:rPr>
                <w:sz w:val="20"/>
                <w:szCs w:val="20"/>
                <w:color w:val="auto"/>
              </w:rPr>
            </w:pPr>
            <w:r>
              <w:rPr>
                <w:rFonts w:ascii="Arial" w:cs="Arial" w:eastAsia="Arial" w:hAnsi="Arial"/>
                <w:sz w:val="18"/>
                <w:szCs w:val="18"/>
                <w:color w:val="auto"/>
              </w:rPr>
              <w:t>New Base</w:t>
            </w:r>
          </w:p>
        </w:tc>
        <w:tc>
          <w:tcPr>
            <w:tcW w:w="1560" w:type="dxa"/>
            <w:vAlign w:val="bottom"/>
          </w:tcPr>
          <w:p>
            <w:pPr>
              <w:ind w:left="760"/>
              <w:spacing w:after="0"/>
              <w:rPr>
                <w:sz w:val="20"/>
                <w:szCs w:val="20"/>
                <w:color w:val="auto"/>
              </w:rPr>
            </w:pPr>
            <w:r>
              <w:rPr>
                <w:rFonts w:ascii="Arial" w:cs="Arial" w:eastAsia="Arial" w:hAnsi="Arial"/>
                <w:sz w:val="18"/>
                <w:szCs w:val="18"/>
                <w:color w:val="auto"/>
                <w:w w:val="84"/>
              </w:rPr>
              <w:t>Percentage</w:t>
            </w:r>
          </w:p>
        </w:tc>
      </w:tr>
      <w:tr>
        <w:trPr>
          <w:trHeight w:val="230"/>
        </w:trPr>
        <w:tc>
          <w:tcPr>
            <w:tcW w:w="3200" w:type="dxa"/>
            <w:vAlign w:val="bottom"/>
          </w:tcPr>
          <w:p>
            <w:pPr>
              <w:spacing w:after="0"/>
              <w:rPr>
                <w:sz w:val="20"/>
                <w:szCs w:val="20"/>
                <w:color w:val="auto"/>
              </w:rPr>
            </w:pPr>
          </w:p>
        </w:tc>
        <w:tc>
          <w:tcPr>
            <w:tcW w:w="3020" w:type="dxa"/>
            <w:vAlign w:val="bottom"/>
          </w:tcPr>
          <w:p>
            <w:pPr>
              <w:ind w:left="1380"/>
              <w:spacing w:after="0"/>
              <w:rPr>
                <w:sz w:val="20"/>
                <w:szCs w:val="20"/>
                <w:color w:val="auto"/>
              </w:rPr>
            </w:pPr>
            <w:r>
              <w:rPr>
                <w:rFonts w:ascii="Arial" w:cs="Arial" w:eastAsia="Arial" w:hAnsi="Arial"/>
                <w:sz w:val="18"/>
                <w:szCs w:val="18"/>
                <w:color w:val="auto"/>
              </w:rPr>
              <w:t>Base Salary</w:t>
            </w:r>
          </w:p>
        </w:tc>
        <w:tc>
          <w:tcPr>
            <w:tcW w:w="2420" w:type="dxa"/>
            <w:vAlign w:val="bottom"/>
          </w:tcPr>
          <w:p>
            <w:pPr>
              <w:ind w:left="780"/>
              <w:spacing w:after="0"/>
              <w:rPr>
                <w:sz w:val="20"/>
                <w:szCs w:val="20"/>
                <w:color w:val="auto"/>
              </w:rPr>
            </w:pPr>
            <w:r>
              <w:rPr>
                <w:rFonts w:ascii="Arial" w:cs="Arial" w:eastAsia="Arial" w:hAnsi="Arial"/>
                <w:sz w:val="18"/>
                <w:szCs w:val="18"/>
                <w:color w:val="auto"/>
              </w:rPr>
              <w:t>Salary</w:t>
            </w:r>
          </w:p>
        </w:tc>
        <w:tc>
          <w:tcPr>
            <w:tcW w:w="1560" w:type="dxa"/>
            <w:vAlign w:val="bottom"/>
          </w:tcPr>
          <w:p>
            <w:pPr>
              <w:ind w:left="760"/>
              <w:spacing w:after="0"/>
              <w:rPr>
                <w:sz w:val="20"/>
                <w:szCs w:val="20"/>
                <w:color w:val="auto"/>
              </w:rPr>
            </w:pPr>
            <w:r>
              <w:rPr>
                <w:rFonts w:ascii="Arial" w:cs="Arial" w:eastAsia="Arial" w:hAnsi="Arial"/>
                <w:sz w:val="18"/>
                <w:szCs w:val="18"/>
                <w:color w:val="auto"/>
              </w:rPr>
              <w:t>Increase</w:t>
            </w:r>
          </w:p>
        </w:tc>
      </w:tr>
      <w:tr>
        <w:trPr>
          <w:trHeight w:val="418"/>
        </w:trPr>
        <w:tc>
          <w:tcPr>
            <w:tcW w:w="3200" w:type="dxa"/>
            <w:vAlign w:val="bottom"/>
          </w:tcPr>
          <w:p>
            <w:pPr>
              <w:spacing w:after="0"/>
              <w:rPr>
                <w:sz w:val="20"/>
                <w:szCs w:val="20"/>
                <w:color w:val="auto"/>
              </w:rPr>
            </w:pPr>
            <w:r>
              <w:rPr>
                <w:rFonts w:ascii="Arial" w:cs="Arial" w:eastAsia="Arial" w:hAnsi="Arial"/>
                <w:sz w:val="18"/>
                <w:szCs w:val="18"/>
                <w:color w:val="auto"/>
              </w:rPr>
              <w:t>Michael E. Batten</w:t>
            </w:r>
          </w:p>
        </w:tc>
        <w:tc>
          <w:tcPr>
            <w:tcW w:w="3020" w:type="dxa"/>
            <w:vAlign w:val="bottom"/>
          </w:tcPr>
          <w:p>
            <w:pPr>
              <w:ind w:left="1380"/>
              <w:spacing w:after="0"/>
              <w:rPr>
                <w:sz w:val="20"/>
                <w:szCs w:val="20"/>
                <w:color w:val="auto"/>
              </w:rPr>
            </w:pPr>
            <w:r>
              <w:rPr>
                <w:rFonts w:ascii="Arial" w:cs="Arial" w:eastAsia="Arial" w:hAnsi="Arial"/>
                <w:sz w:val="18"/>
                <w:szCs w:val="18"/>
                <w:color w:val="auto"/>
              </w:rPr>
              <w:t>$475,000</w:t>
            </w:r>
          </w:p>
        </w:tc>
        <w:tc>
          <w:tcPr>
            <w:tcW w:w="2420" w:type="dxa"/>
            <w:vAlign w:val="bottom"/>
          </w:tcPr>
          <w:p>
            <w:pPr>
              <w:ind w:left="780"/>
              <w:spacing w:after="0"/>
              <w:rPr>
                <w:sz w:val="20"/>
                <w:szCs w:val="20"/>
                <w:color w:val="auto"/>
              </w:rPr>
            </w:pPr>
            <w:r>
              <w:rPr>
                <w:rFonts w:ascii="Arial" w:cs="Arial" w:eastAsia="Arial" w:hAnsi="Arial"/>
                <w:sz w:val="18"/>
                <w:szCs w:val="18"/>
                <w:color w:val="auto"/>
              </w:rPr>
              <w:t>$546,000</w:t>
            </w:r>
          </w:p>
        </w:tc>
        <w:tc>
          <w:tcPr>
            <w:tcW w:w="1560" w:type="dxa"/>
            <w:vAlign w:val="bottom"/>
          </w:tcPr>
          <w:p>
            <w:pPr>
              <w:ind w:left="760"/>
              <w:spacing w:after="0"/>
              <w:rPr>
                <w:sz w:val="20"/>
                <w:szCs w:val="20"/>
                <w:color w:val="auto"/>
              </w:rPr>
            </w:pPr>
            <w:r>
              <w:rPr>
                <w:rFonts w:ascii="Arial" w:cs="Arial" w:eastAsia="Arial" w:hAnsi="Arial"/>
                <w:sz w:val="18"/>
                <w:szCs w:val="18"/>
                <w:color w:val="auto"/>
              </w:rPr>
              <w:t>14.95%</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Chairman and Chief</w:t>
            </w:r>
          </w:p>
        </w:tc>
        <w:tc>
          <w:tcPr>
            <w:tcW w:w="30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Executive Officer</w:t>
            </w:r>
          </w:p>
        </w:tc>
        <w:tc>
          <w:tcPr>
            <w:tcW w:w="30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418"/>
        </w:trPr>
        <w:tc>
          <w:tcPr>
            <w:tcW w:w="3200" w:type="dxa"/>
            <w:vAlign w:val="bottom"/>
          </w:tcPr>
          <w:p>
            <w:pPr>
              <w:spacing w:after="0"/>
              <w:rPr>
                <w:sz w:val="20"/>
                <w:szCs w:val="20"/>
                <w:color w:val="auto"/>
              </w:rPr>
            </w:pPr>
            <w:r>
              <w:rPr>
                <w:rFonts w:ascii="Arial" w:cs="Arial" w:eastAsia="Arial" w:hAnsi="Arial"/>
                <w:sz w:val="18"/>
                <w:szCs w:val="18"/>
                <w:color w:val="auto"/>
              </w:rPr>
              <w:t>John H. Batten</w:t>
            </w:r>
          </w:p>
        </w:tc>
        <w:tc>
          <w:tcPr>
            <w:tcW w:w="3020" w:type="dxa"/>
            <w:vAlign w:val="bottom"/>
          </w:tcPr>
          <w:p>
            <w:pPr>
              <w:ind w:left="1380"/>
              <w:spacing w:after="0"/>
              <w:rPr>
                <w:sz w:val="20"/>
                <w:szCs w:val="20"/>
                <w:color w:val="auto"/>
              </w:rPr>
            </w:pPr>
            <w:r>
              <w:rPr>
                <w:rFonts w:ascii="Arial" w:cs="Arial" w:eastAsia="Arial" w:hAnsi="Arial"/>
                <w:sz w:val="18"/>
                <w:szCs w:val="18"/>
                <w:color w:val="auto"/>
              </w:rPr>
              <w:t>$279,000</w:t>
            </w:r>
          </w:p>
        </w:tc>
        <w:tc>
          <w:tcPr>
            <w:tcW w:w="2420" w:type="dxa"/>
            <w:vAlign w:val="bottom"/>
          </w:tcPr>
          <w:p>
            <w:pPr>
              <w:ind w:left="780"/>
              <w:spacing w:after="0"/>
              <w:rPr>
                <w:sz w:val="20"/>
                <w:szCs w:val="20"/>
                <w:color w:val="auto"/>
              </w:rPr>
            </w:pPr>
            <w:r>
              <w:rPr>
                <w:rFonts w:ascii="Arial" w:cs="Arial" w:eastAsia="Arial" w:hAnsi="Arial"/>
                <w:sz w:val="18"/>
                <w:szCs w:val="18"/>
                <w:color w:val="auto"/>
              </w:rPr>
              <w:t>$300,000</w:t>
            </w:r>
          </w:p>
        </w:tc>
        <w:tc>
          <w:tcPr>
            <w:tcW w:w="1560" w:type="dxa"/>
            <w:vAlign w:val="bottom"/>
          </w:tcPr>
          <w:p>
            <w:pPr>
              <w:ind w:left="760"/>
              <w:spacing w:after="0"/>
              <w:rPr>
                <w:sz w:val="20"/>
                <w:szCs w:val="20"/>
                <w:color w:val="auto"/>
              </w:rPr>
            </w:pPr>
            <w:r>
              <w:rPr>
                <w:rFonts w:ascii="Arial" w:cs="Arial" w:eastAsia="Arial" w:hAnsi="Arial"/>
                <w:sz w:val="18"/>
                <w:szCs w:val="18"/>
                <w:color w:val="auto"/>
              </w:rPr>
              <w:t>7.53%</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President and Chief</w:t>
            </w:r>
          </w:p>
        </w:tc>
        <w:tc>
          <w:tcPr>
            <w:tcW w:w="30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Operating Officer</w:t>
            </w:r>
          </w:p>
        </w:tc>
        <w:tc>
          <w:tcPr>
            <w:tcW w:w="30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418"/>
        </w:trPr>
        <w:tc>
          <w:tcPr>
            <w:tcW w:w="3200" w:type="dxa"/>
            <w:vAlign w:val="bottom"/>
          </w:tcPr>
          <w:p>
            <w:pPr>
              <w:spacing w:after="0"/>
              <w:rPr>
                <w:sz w:val="20"/>
                <w:szCs w:val="20"/>
                <w:color w:val="auto"/>
              </w:rPr>
            </w:pPr>
            <w:r>
              <w:rPr>
                <w:rFonts w:ascii="Arial" w:cs="Arial" w:eastAsia="Arial" w:hAnsi="Arial"/>
                <w:sz w:val="18"/>
                <w:szCs w:val="18"/>
                <w:color w:val="auto"/>
              </w:rPr>
              <w:t>Christopher J. Eperjesy</w:t>
            </w:r>
          </w:p>
        </w:tc>
        <w:tc>
          <w:tcPr>
            <w:tcW w:w="3020" w:type="dxa"/>
            <w:vAlign w:val="bottom"/>
          </w:tcPr>
          <w:p>
            <w:pPr>
              <w:ind w:left="1380"/>
              <w:spacing w:after="0"/>
              <w:rPr>
                <w:sz w:val="20"/>
                <w:szCs w:val="20"/>
                <w:color w:val="auto"/>
              </w:rPr>
            </w:pPr>
            <w:r>
              <w:rPr>
                <w:rFonts w:ascii="Arial" w:cs="Arial" w:eastAsia="Arial" w:hAnsi="Arial"/>
                <w:sz w:val="18"/>
                <w:szCs w:val="18"/>
                <w:color w:val="auto"/>
              </w:rPr>
              <w:t>$269,000</w:t>
            </w:r>
          </w:p>
        </w:tc>
        <w:tc>
          <w:tcPr>
            <w:tcW w:w="2420" w:type="dxa"/>
            <w:vAlign w:val="bottom"/>
          </w:tcPr>
          <w:p>
            <w:pPr>
              <w:ind w:left="780"/>
              <w:spacing w:after="0"/>
              <w:rPr>
                <w:sz w:val="20"/>
                <w:szCs w:val="20"/>
                <w:color w:val="auto"/>
              </w:rPr>
            </w:pPr>
            <w:r>
              <w:rPr>
                <w:rFonts w:ascii="Arial" w:cs="Arial" w:eastAsia="Arial" w:hAnsi="Arial"/>
                <w:sz w:val="18"/>
                <w:szCs w:val="18"/>
                <w:color w:val="auto"/>
              </w:rPr>
              <w:t>$286,000</w:t>
            </w:r>
          </w:p>
        </w:tc>
        <w:tc>
          <w:tcPr>
            <w:tcW w:w="1560" w:type="dxa"/>
            <w:vAlign w:val="bottom"/>
          </w:tcPr>
          <w:p>
            <w:pPr>
              <w:ind w:left="760"/>
              <w:spacing w:after="0"/>
              <w:rPr>
                <w:sz w:val="20"/>
                <w:szCs w:val="20"/>
                <w:color w:val="auto"/>
              </w:rPr>
            </w:pPr>
            <w:r>
              <w:rPr>
                <w:rFonts w:ascii="Arial" w:cs="Arial" w:eastAsia="Arial" w:hAnsi="Arial"/>
                <w:sz w:val="18"/>
                <w:szCs w:val="18"/>
                <w:color w:val="auto"/>
              </w:rPr>
              <w:t>6.32%</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Vice President – Finance,</w:t>
            </w:r>
          </w:p>
        </w:tc>
        <w:tc>
          <w:tcPr>
            <w:tcW w:w="30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30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and Treasurer</w:t>
            </w:r>
          </w:p>
        </w:tc>
        <w:tc>
          <w:tcPr>
            <w:tcW w:w="30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418"/>
        </w:trPr>
        <w:tc>
          <w:tcPr>
            <w:tcW w:w="3200" w:type="dxa"/>
            <w:vAlign w:val="bottom"/>
          </w:tcPr>
          <w:p>
            <w:pPr>
              <w:spacing w:after="0"/>
              <w:rPr>
                <w:sz w:val="20"/>
                <w:szCs w:val="20"/>
                <w:color w:val="auto"/>
              </w:rPr>
            </w:pPr>
            <w:r>
              <w:rPr>
                <w:rFonts w:ascii="Arial" w:cs="Arial" w:eastAsia="Arial" w:hAnsi="Arial"/>
                <w:sz w:val="18"/>
                <w:szCs w:val="18"/>
                <w:color w:val="auto"/>
              </w:rPr>
              <w:t>James E. Feiertag</w:t>
            </w:r>
          </w:p>
        </w:tc>
        <w:tc>
          <w:tcPr>
            <w:tcW w:w="3020" w:type="dxa"/>
            <w:vAlign w:val="bottom"/>
          </w:tcPr>
          <w:p>
            <w:pPr>
              <w:ind w:left="1380"/>
              <w:spacing w:after="0"/>
              <w:rPr>
                <w:sz w:val="20"/>
                <w:szCs w:val="20"/>
                <w:color w:val="auto"/>
              </w:rPr>
            </w:pPr>
            <w:r>
              <w:rPr>
                <w:rFonts w:ascii="Arial" w:cs="Arial" w:eastAsia="Arial" w:hAnsi="Arial"/>
                <w:sz w:val="18"/>
                <w:szCs w:val="18"/>
                <w:color w:val="auto"/>
              </w:rPr>
              <w:t>$269,000</w:t>
            </w:r>
          </w:p>
        </w:tc>
        <w:tc>
          <w:tcPr>
            <w:tcW w:w="2420" w:type="dxa"/>
            <w:vAlign w:val="bottom"/>
          </w:tcPr>
          <w:p>
            <w:pPr>
              <w:ind w:left="780"/>
              <w:spacing w:after="0"/>
              <w:rPr>
                <w:sz w:val="20"/>
                <w:szCs w:val="20"/>
                <w:color w:val="auto"/>
              </w:rPr>
            </w:pPr>
            <w:r>
              <w:rPr>
                <w:rFonts w:ascii="Arial" w:cs="Arial" w:eastAsia="Arial" w:hAnsi="Arial"/>
                <w:sz w:val="18"/>
                <w:szCs w:val="18"/>
                <w:color w:val="auto"/>
              </w:rPr>
              <w:t>$286,000</w:t>
            </w:r>
          </w:p>
        </w:tc>
        <w:tc>
          <w:tcPr>
            <w:tcW w:w="1560" w:type="dxa"/>
            <w:vAlign w:val="bottom"/>
          </w:tcPr>
          <w:p>
            <w:pPr>
              <w:ind w:left="760"/>
              <w:spacing w:after="0"/>
              <w:rPr>
                <w:sz w:val="20"/>
                <w:szCs w:val="20"/>
                <w:color w:val="auto"/>
              </w:rPr>
            </w:pPr>
            <w:r>
              <w:rPr>
                <w:rFonts w:ascii="Arial" w:cs="Arial" w:eastAsia="Arial" w:hAnsi="Arial"/>
                <w:sz w:val="18"/>
                <w:szCs w:val="18"/>
                <w:color w:val="auto"/>
              </w:rPr>
              <w:t>6.32%</w:t>
            </w: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Executive Vice President</w:t>
            </w:r>
          </w:p>
        </w:tc>
        <w:tc>
          <w:tcPr>
            <w:tcW w:w="30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418"/>
        </w:trPr>
        <w:tc>
          <w:tcPr>
            <w:tcW w:w="3200" w:type="dxa"/>
            <w:vAlign w:val="bottom"/>
          </w:tcPr>
          <w:p>
            <w:pPr>
              <w:spacing w:after="0"/>
              <w:rPr>
                <w:sz w:val="20"/>
                <w:szCs w:val="20"/>
                <w:color w:val="auto"/>
              </w:rPr>
            </w:pPr>
            <w:r>
              <w:rPr>
                <w:rFonts w:ascii="Arial" w:cs="Arial" w:eastAsia="Arial" w:hAnsi="Arial"/>
                <w:sz w:val="18"/>
                <w:szCs w:val="18"/>
                <w:color w:val="auto"/>
              </w:rPr>
              <w:t>H. Claude Fabry</w:t>
            </w:r>
          </w:p>
        </w:tc>
        <w:tc>
          <w:tcPr>
            <w:tcW w:w="3020" w:type="dxa"/>
            <w:vAlign w:val="bottom"/>
          </w:tcPr>
          <w:p>
            <w:pPr>
              <w:ind w:left="1380"/>
              <w:spacing w:after="0"/>
              <w:rPr>
                <w:sz w:val="20"/>
                <w:szCs w:val="20"/>
                <w:color w:val="auto"/>
              </w:rPr>
            </w:pPr>
            <w:r>
              <w:rPr>
                <w:rFonts w:ascii="Arial" w:cs="Arial" w:eastAsia="Arial" w:hAnsi="Arial"/>
                <w:sz w:val="18"/>
                <w:szCs w:val="18"/>
                <w:color w:val="auto"/>
              </w:rPr>
              <w:t>$217,800(1)</w:t>
            </w:r>
          </w:p>
        </w:tc>
        <w:tc>
          <w:tcPr>
            <w:tcW w:w="2420" w:type="dxa"/>
            <w:vAlign w:val="bottom"/>
          </w:tcPr>
          <w:p>
            <w:pPr>
              <w:ind w:left="780"/>
              <w:spacing w:after="0"/>
              <w:rPr>
                <w:sz w:val="20"/>
                <w:szCs w:val="20"/>
                <w:color w:val="auto"/>
              </w:rPr>
            </w:pPr>
            <w:r>
              <w:rPr>
                <w:rFonts w:ascii="Arial" w:cs="Arial" w:eastAsia="Arial" w:hAnsi="Arial"/>
                <w:sz w:val="18"/>
                <w:szCs w:val="18"/>
                <w:color w:val="auto"/>
              </w:rPr>
              <w:t>$229,256(1)</w:t>
            </w:r>
          </w:p>
        </w:tc>
        <w:tc>
          <w:tcPr>
            <w:tcW w:w="1560" w:type="dxa"/>
            <w:vAlign w:val="bottom"/>
          </w:tcPr>
          <w:p>
            <w:pPr>
              <w:ind w:left="760"/>
              <w:spacing w:after="0"/>
              <w:rPr>
                <w:sz w:val="20"/>
                <w:szCs w:val="20"/>
                <w:color w:val="auto"/>
              </w:rPr>
            </w:pPr>
            <w:r>
              <w:rPr>
                <w:rFonts w:ascii="Arial" w:cs="Arial" w:eastAsia="Arial" w:hAnsi="Arial"/>
                <w:sz w:val="18"/>
                <w:szCs w:val="18"/>
                <w:color w:val="auto"/>
              </w:rPr>
              <w:t>5.26%</w:t>
            </w: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Vice President</w:t>
            </w:r>
          </w:p>
        </w:tc>
        <w:tc>
          <w:tcPr>
            <w:tcW w:w="30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560" w:type="dxa"/>
            <w:vAlign w:val="bottom"/>
          </w:tcPr>
          <w:p>
            <w:pPr>
              <w:spacing w:after="0"/>
              <w:rPr>
                <w:sz w:val="20"/>
                <w:szCs w:val="20"/>
                <w:color w:val="auto"/>
              </w:rPr>
            </w:pPr>
          </w:p>
        </w:tc>
      </w:tr>
    </w:tbl>
    <w:p>
      <w:pPr>
        <w:spacing w:after="0" w:line="229" w:lineRule="exact"/>
        <w:rPr>
          <w:sz w:val="20"/>
          <w:szCs w:val="20"/>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portion of Mr. Fabry’s base salary is denominated in Euro, which has been translated at the exchange rate of 1€/1.21$.</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FORWARD LOOKING STATEMENTS</w:t>
      </w:r>
    </w:p>
    <w:p>
      <w:pPr>
        <w:spacing w:after="0" w:line="252"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The disclosures in this report on Form 8-K and in the documents incorporated herein by reference contain or may contain “forward-looking statements” within the meaning of the Private Securities Litigation Reform Act of 1995. The words “believes,” “expects,” “intends,” “plans,” “anticipates,” “hopes,” “likely,” “will,” and similar expressions identify such forward-looking statements. Such forward-looking statements involve known and unknown risks, uncertainties and other important factors that could cause the actual results, performance or achievements of the Company (or entities in which the Company has interests), or industry results, to differ materially from future results, performance or achievements expressed or implied by such forward-looking statements. Certain factors that could cause the Company’s actual future results to differ materially from those discussed are noted in connection with such statements, but other unanticipated factors could arise. Readers are cautioned not to place undue reliance on these forward-looking statements which reflect management’s view only as of the date of this Form 8-K. The Company undertakes no obligation to publicly release any revisions to these forward-looking statements to reflect events or circumstances after the date hereof or to reflect the occurrence of unanticipated events, conditions or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389255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760" w:right="25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7" w:lineRule="exact"/>
        <w:rPr>
          <w:sz w:val="20"/>
          <w:szCs w:val="20"/>
          <w:color w:val="auto"/>
        </w:rPr>
      </w:pPr>
    </w:p>
    <w:p>
      <w:pPr>
        <w:spacing w:after="0"/>
        <w:tabs>
          <w:tab w:leader="none" w:pos="5120" w:val="left"/>
        </w:tabs>
        <w:rPr>
          <w:sz w:val="20"/>
          <w:szCs w:val="20"/>
          <w:color w:val="auto"/>
        </w:rPr>
      </w:pPr>
      <w:r>
        <w:rPr>
          <w:rFonts w:ascii="Arial" w:cs="Arial" w:eastAsia="Arial" w:hAnsi="Arial"/>
          <w:sz w:val="18"/>
          <w:szCs w:val="18"/>
          <w:color w:val="auto"/>
        </w:rPr>
        <w:t>Date: June 23, 2010</w:t>
      </w:r>
      <w:r>
        <w:rPr>
          <w:sz w:val="20"/>
          <w:szCs w:val="20"/>
          <w:color w:val="auto"/>
        </w:rPr>
        <w:tab/>
      </w:r>
      <w:r>
        <w:rPr>
          <w:rFonts w:ascii="Arial" w:cs="Arial" w:eastAsia="Arial" w:hAnsi="Arial"/>
          <w:sz w:val="16"/>
          <w:szCs w:val="16"/>
          <w:color w:val="auto"/>
        </w:rPr>
        <w:t>Twin Disc, Inc.</w:t>
      </w:r>
    </w:p>
    <w:p>
      <w:pPr>
        <w:spacing w:after="0" w:line="225" w:lineRule="exact"/>
        <w:rPr>
          <w:sz w:val="20"/>
          <w:szCs w:val="20"/>
          <w:color w:val="auto"/>
        </w:rPr>
      </w:pPr>
    </w:p>
    <w:p>
      <w:pPr>
        <w:ind w:left="5140"/>
        <w:spacing w:after="0"/>
        <w:rPr>
          <w:sz w:val="20"/>
          <w:szCs w:val="20"/>
          <w:color w:val="auto"/>
        </w:rPr>
      </w:pPr>
      <w:r>
        <w:rPr>
          <w:rFonts w:ascii="Arial" w:cs="Arial" w:eastAsia="Arial" w:hAnsi="Arial"/>
          <w:sz w:val="18"/>
          <w:szCs w:val="18"/>
          <w:u w:val="single" w:color="auto"/>
          <w:color w:val="auto"/>
        </w:rPr>
        <w:t>/s/ THOMAS E. VALENTYN</w:t>
      </w:r>
    </w:p>
    <w:p>
      <w:pPr>
        <w:spacing w:after="0" w:line="23"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Thomas E. Valentyn</w:t>
      </w:r>
    </w:p>
    <w:p>
      <w:pPr>
        <w:spacing w:after="0" w:line="9"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General Counsel &amp;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756" w:right="25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2019-12-10T03:22:48Z</dcterms:created>
  <dcterms:modified xsi:type="dcterms:W3CDTF">2019-12-10T03:22:48Z</dcterms:modified>
</cp:coreProperties>
</file>